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7E" w:rsidRDefault="001A6A25" w:rsidP="00490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137C9" w:rsidRPr="00E137C9" w:rsidRDefault="00E137C9" w:rsidP="00E13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137C9"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</w:p>
    <w:p w:rsidR="00E137C9" w:rsidRPr="00E137C9" w:rsidRDefault="00E137C9" w:rsidP="00E13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37C9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E137C9" w:rsidRPr="00E137C9" w:rsidRDefault="00E137C9" w:rsidP="00E13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37C9">
        <w:rPr>
          <w:rFonts w:ascii="Times New Roman" w:hAnsi="Times New Roman" w:cs="Times New Roman"/>
          <w:sz w:val="24"/>
          <w:szCs w:val="24"/>
        </w:rPr>
        <w:t>от 10.09.2015 N ММВ-7-11/387@</w:t>
      </w:r>
    </w:p>
    <w:p w:rsidR="00E137C9" w:rsidRDefault="00E137C9" w:rsidP="00E13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37C9">
        <w:rPr>
          <w:rFonts w:ascii="Times New Roman" w:hAnsi="Times New Roman" w:cs="Times New Roman"/>
          <w:sz w:val="24"/>
          <w:szCs w:val="24"/>
        </w:rPr>
        <w:t>(в ред. Приказа ФНС России от 22.11.2016 N ММВ-7-11/633@)</w:t>
      </w:r>
    </w:p>
    <w:p w:rsidR="00E137C9" w:rsidRDefault="00E137C9" w:rsidP="00E13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37C9" w:rsidRDefault="00E137C9" w:rsidP="00E13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A25" w:rsidRPr="00E137C9" w:rsidRDefault="001A6A25" w:rsidP="00E13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7C9">
        <w:rPr>
          <w:rFonts w:ascii="Times New Roman" w:hAnsi="Times New Roman" w:cs="Times New Roman"/>
          <w:b/>
          <w:sz w:val="24"/>
          <w:szCs w:val="24"/>
        </w:rPr>
        <w:t>Коды видов доходов налогоплательщика</w:t>
      </w:r>
    </w:p>
    <w:p w:rsidR="001A6A25" w:rsidRDefault="001A6A25" w:rsidP="001A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8045" w:type="dxa"/>
          </w:tcPr>
          <w:p w:rsidR="001A6A25" w:rsidRDefault="001A6A25" w:rsidP="001A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8045" w:type="dxa"/>
          </w:tcPr>
          <w:p w:rsidR="001A6A25" w:rsidRDefault="00124A64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Дивиденды</w:t>
            </w: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8045" w:type="dxa"/>
          </w:tcPr>
          <w:p w:rsidR="001A6A25" w:rsidRDefault="00124A64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Проценты (за исключением процентов по облигациям с ипотечным покрытием, эмитированным до 01.01.2007, доходов в виде процентов, получаемых по вкладам в банках, и доходов, получаемых при погашении векселя), включая дисконт, полученный по долговому обязательству любого вида</w:t>
            </w:r>
            <w:proofErr w:type="gramEnd"/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045" w:type="dxa"/>
          </w:tcPr>
          <w:p w:rsidR="001A6A25" w:rsidRDefault="00124A64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Проценты по облигациям с ипотечным покрытием, эмитированным до 01.01.2007</w:t>
            </w: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8045" w:type="dxa"/>
          </w:tcPr>
          <w:p w:rsidR="001A6A25" w:rsidRDefault="00124A64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Доходы учредителей доверительного управления ипотечным покрытием, полученные на основании приобретения ипотечных сертификатов участия, выданных управляющим ипотечным покрытием до 01.01.2007</w:t>
            </w: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045" w:type="dxa"/>
          </w:tcPr>
          <w:p w:rsidR="001A6A25" w:rsidRPr="00124A64" w:rsidRDefault="00124A64" w:rsidP="00124A64">
            <w:pPr>
              <w:wordWrap w:val="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Доходы, полученные в виде иных страховых выплат по договорам страхования</w:t>
            </w: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8045" w:type="dxa"/>
          </w:tcPr>
          <w:p w:rsidR="001A6A25" w:rsidRPr="00124A64" w:rsidRDefault="00124A64" w:rsidP="00124A64">
            <w:pPr>
              <w:wordWrap w:val="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Доходы, полученные в виде страховых выплат по договорам страхования в виде оплаты стоимости санаторно-курортных путевок</w:t>
            </w: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8045" w:type="dxa"/>
          </w:tcPr>
          <w:p w:rsidR="001A6A25" w:rsidRPr="00124A64" w:rsidRDefault="00124A64" w:rsidP="00124A64">
            <w:pPr>
              <w:wordWrap w:val="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Доходы, полученные в виде страховых выплат по договорам добровольного страхования жизни (за исключением договоров добровольного пенсионного страхования) в случае выплат, связанных с дожитием застрахованного лица до определенного возраста или срока, либо в случае наступления иного события (за исключением досрочного расторжения договоров), в части превышения сумм внесенных налогоплательщиком страховых взносов, увеличенных на сумму, рассчитанную путем последовательного суммирования произведений сумм страховых взносов</w:t>
            </w:r>
            <w:proofErr w:type="gramEnd"/>
            <w:r w:rsidRPr="00124A64">
              <w:rPr>
                <w:rFonts w:ascii="Times New Roman" w:hAnsi="Times New Roman" w:cs="Times New Roman"/>
                <w:sz w:val="24"/>
                <w:szCs w:val="24"/>
              </w:rPr>
              <w:t xml:space="preserve">, внесенных со дня заключения договора страхования ко дню </w:t>
            </w:r>
            <w:proofErr w:type="gramStart"/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окончания каждого года действия такого договора добровольного страхования</w:t>
            </w:r>
            <w:proofErr w:type="gramEnd"/>
            <w:r w:rsidRPr="00124A64">
              <w:rPr>
                <w:rFonts w:ascii="Times New Roman" w:hAnsi="Times New Roman" w:cs="Times New Roman"/>
                <w:sz w:val="24"/>
                <w:szCs w:val="24"/>
              </w:rPr>
              <w:t xml:space="preserve"> жизни (включительно), и действовавшей в соответствующий год среднегодовой ставки рефинансирования Центрального банка Российской Федерации</w:t>
            </w: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8045" w:type="dxa"/>
          </w:tcPr>
          <w:p w:rsidR="001A6A25" w:rsidRPr="00124A64" w:rsidRDefault="00124A64" w:rsidP="00124A64">
            <w:pPr>
              <w:wordWrap w:val="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Доходы, полученные в виде страховых выплат по договорам добровольного имущественного страхования (включая страхование гражданской ответственности за причинение вреда имуществу третьих лиц и (или) страхование гражданской ответственности владельцев транспортных средств) в части превышения рыночной стоимости застрахованного имущества в случае гибели или уничтожения застрахованного имущества, либо расходов, необходимых для проведения ремонта (восстановления) этого имущества (в случае, если ремонт не осуществлялся), или стоимости</w:t>
            </w:r>
            <w:proofErr w:type="gramEnd"/>
            <w:r w:rsidRPr="00124A64">
              <w:rPr>
                <w:rFonts w:ascii="Times New Roman" w:hAnsi="Times New Roman" w:cs="Times New Roman"/>
                <w:sz w:val="24"/>
                <w:szCs w:val="24"/>
              </w:rPr>
              <w:t xml:space="preserve"> ремонта (восстановления) этого имущества (в случае осуществления ремонта), увеличенных на сумму уплаченных по страхованию этого имущества страховых взносов</w:t>
            </w: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8045" w:type="dxa"/>
          </w:tcPr>
          <w:p w:rsidR="00124A64" w:rsidRPr="00124A64" w:rsidRDefault="00124A64" w:rsidP="00124A64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A64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полученные в виде сумм страховых взносов по договорам страхования, если указанные суммы вносятся за физических лиц из средств работодателей либо из средств организаций или индивидуальных </w:t>
            </w:r>
            <w:r w:rsidRPr="00124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предпринимателей, не являющихся работодателями в отношении тех физических лиц, за которых они вносят страховые взносы</w:t>
            </w:r>
          </w:p>
          <w:p w:rsidR="001A6A25" w:rsidRPr="00124A64" w:rsidRDefault="001A6A25" w:rsidP="001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1212</w:t>
            </w:r>
          </w:p>
        </w:tc>
        <w:tc>
          <w:tcPr>
            <w:tcW w:w="8045" w:type="dxa"/>
          </w:tcPr>
          <w:p w:rsidR="00124A64" w:rsidRPr="00124A64" w:rsidRDefault="00124A64" w:rsidP="00124A64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Доходы в виде денежных (выкупных) сумм, выплачиваемых по договорам добровольного страхования жизни, подлежащих в соответствии с правилами страхования и условиями договоров выплате при досрочном расторжении договоров добровольного страхования жизни</w:t>
            </w:r>
          </w:p>
          <w:p w:rsidR="001A6A25" w:rsidRPr="00124A64" w:rsidRDefault="001A6A25" w:rsidP="001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8045" w:type="dxa"/>
          </w:tcPr>
          <w:p w:rsidR="00124A64" w:rsidRPr="00124A64" w:rsidRDefault="00124A64" w:rsidP="00124A64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Доходы в виде денежных (выкупных) сумм, выплачиваемые по договорам добровольного пенсионного страхования и подлежащих в соответствии с правилами страхования и условиями договоров выплате при досрочном расторжении договоров добровольного пенсионного страхования</w:t>
            </w:r>
          </w:p>
          <w:p w:rsidR="001A6A25" w:rsidRPr="00124A64" w:rsidRDefault="001A6A25" w:rsidP="001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8045" w:type="dxa"/>
          </w:tcPr>
          <w:p w:rsidR="00124A64" w:rsidRPr="00124A64" w:rsidRDefault="00124A64" w:rsidP="00124A64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Доходы в виде денежных (выкупных) сумм, выплачиваемые по договорам негосударственного пенсионного обеспечения и подлежащих в соответствии с правилами страхования и условиями договоров выплате при досрочном расторжении договоров негосударственного пенсионного обеспечения</w:t>
            </w:r>
          </w:p>
          <w:p w:rsidR="001A6A25" w:rsidRPr="00124A64" w:rsidRDefault="001A6A25" w:rsidP="001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8045" w:type="dxa"/>
          </w:tcPr>
          <w:p w:rsidR="001A6A25" w:rsidRDefault="00124A64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Суммы страховых взносов, в отношении которых налогоплательщику был предоставлен социальный налоговый вычет, предусмотренный подпунктом 4 пункта 1 статьи 219 Налогового кодекса Российской Федерации, учитываемый в случае расторжения договора добровольного пенсионного страхования</w:t>
            </w:r>
          </w:p>
        </w:tc>
      </w:tr>
      <w:tr w:rsidR="001A6A25" w:rsidTr="001A6A25">
        <w:tc>
          <w:tcPr>
            <w:tcW w:w="1526" w:type="dxa"/>
          </w:tcPr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8045" w:type="dxa"/>
          </w:tcPr>
          <w:p w:rsidR="00124A64" w:rsidRPr="00124A64" w:rsidRDefault="00124A64" w:rsidP="0012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64">
              <w:rPr>
                <w:rFonts w:ascii="Times New Roman" w:hAnsi="Times New Roman" w:cs="Times New Roman"/>
                <w:sz w:val="24"/>
                <w:szCs w:val="24"/>
              </w:rPr>
              <w:t>Суммы страховых взносов, в отношении которых налогоплательщику был предоставлен социальный налоговый вычет, предусмотренный подпунктом 4 пункта 1 статьи 219 Налогового кодекса Российской Федерации, учитываемый в случае расторжения негосударственного пенсионного обеспечения</w:t>
            </w:r>
          </w:p>
          <w:p w:rsidR="001A6A25" w:rsidRDefault="001A6A25" w:rsidP="001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25" w:rsidRPr="00490C30" w:rsidTr="001A6A25">
        <w:tc>
          <w:tcPr>
            <w:tcW w:w="1526" w:type="dxa"/>
          </w:tcPr>
          <w:p w:rsidR="001A6A25" w:rsidRPr="00490C30" w:rsidRDefault="001A6A25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Суммы пенсий, выплачиваемых по договорам негосударственного пенсионного обеспечения, заключенным организациями и иными работодателями с российскими негосударственными пенсионными фондами, а также суммы пенсий, выплачиваемых по договорам негосударственного пенсионного обеспечения, заключенным физическими лицами с российскими негосударственными фондами в пользу других лиц</w:t>
            </w:r>
            <w:proofErr w:type="gramEnd"/>
          </w:p>
          <w:p w:rsidR="001A6A25" w:rsidRPr="00490C30" w:rsidRDefault="001A6A25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25" w:rsidRPr="00490C30" w:rsidTr="001A6A25">
        <w:tc>
          <w:tcPr>
            <w:tcW w:w="1526" w:type="dxa"/>
          </w:tcPr>
          <w:p w:rsidR="001A6A25" w:rsidRPr="00490C30" w:rsidRDefault="001A6A25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полученные от использования авторских или иных смежных прав</w:t>
            </w:r>
          </w:p>
          <w:p w:rsidR="001A6A25" w:rsidRPr="00490C30" w:rsidRDefault="001A6A25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25" w:rsidRPr="00490C30" w:rsidTr="001A6A25">
        <w:tc>
          <w:tcPr>
            <w:tcW w:w="1526" w:type="dxa"/>
          </w:tcPr>
          <w:p w:rsidR="001A6A25" w:rsidRPr="00490C30" w:rsidRDefault="001A6A25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полученные от отчуждения авторских или иных смежных прав</w:t>
            </w:r>
          </w:p>
          <w:p w:rsidR="001A6A25" w:rsidRPr="00490C30" w:rsidRDefault="001A6A25" w:rsidP="00490C30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25" w:rsidRPr="00490C30" w:rsidTr="001A6A25">
        <w:tc>
          <w:tcPr>
            <w:tcW w:w="1526" w:type="dxa"/>
          </w:tcPr>
          <w:p w:rsidR="001A6A25" w:rsidRPr="00490C30" w:rsidRDefault="001A6A25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полученные от предоставления в аренду или иного использования имущества (кроме аналогичных доходов от сдачи в аренду любых транспортных средств и сре</w:t>
            </w: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язи, компьютерных сетей)</w:t>
            </w:r>
          </w:p>
          <w:p w:rsidR="001A6A25" w:rsidRPr="00490C30" w:rsidRDefault="001A6A25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25" w:rsidRPr="00490C30" w:rsidTr="001A6A25">
        <w:tc>
          <w:tcPr>
            <w:tcW w:w="1526" w:type="dxa"/>
          </w:tcPr>
          <w:p w:rsidR="001A6A25" w:rsidRPr="00490C30" w:rsidRDefault="001A6A25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полученные по операциям с ценными бумагами, обращающимися на организованном рынке ценных бумаг</w:t>
            </w:r>
          </w:p>
          <w:p w:rsidR="001A6A25" w:rsidRPr="00490C30" w:rsidRDefault="001A6A25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25" w:rsidRPr="00490C30" w:rsidTr="001A6A25">
        <w:tc>
          <w:tcPr>
            <w:tcW w:w="1526" w:type="dxa"/>
          </w:tcPr>
          <w:p w:rsidR="001A6A25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1531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по операциям с ценными бумагами, не обращающимися на организованном рынке ценных бумаг</w:t>
            </w:r>
          </w:p>
          <w:p w:rsidR="001A6A25" w:rsidRPr="00490C30" w:rsidRDefault="001A6A25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по операциям с производными финансовыми инструментами, которые обращаются на организованном рынке и базисным активом которых являются ценные бумаги, фондовые индексы или иные производные финансовые инструменты, базисным активом которых являются ценные бумаги или фондовые индексы</w:t>
            </w:r>
            <w:proofErr w:type="gramEnd"/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по операциям с производными финансовыми инструментами, не обращающимися на организованном рынке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по операциям с производными финансовыми инструментами, которые обращаются на организованном рынке и базисным активом которых не являются ценные бумаги, фондовые индексы или иные производные финансовые инструменты, базисным активом которых являются ценные бумаги или фондовые индексы</w:t>
            </w:r>
            <w:proofErr w:type="gramEnd"/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полученные по операциям с ценными бумагами, не обращающимися на организованном рынке ценных бумаг, которые на момент их приобретения отвечали требованиям, предъявляемым к обращающимся ценным бумагам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в виде процентов по займу, полученные по совокупности операций РЕПО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в виде процентов, полученных в налоговом периоде по совокупности договоров займа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по операциям, связанным с открытием короткой позиции, являющимся объектом операций РЕПО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полученные от реализации долей участия в уставном капитале организаций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результате обмена ценных бумаг, переданных по первой части РЕПО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1542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в виде действительной стоимости доли в уставном капитале организации, выплачиваемые при выходе участника из организации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полученные по операциям с ценными бумагами, обращающимися на организованном рынке ценных бумаг, учитываемым на индивидуальном инвестиционном счете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 xml:space="preserve">Доходы по операциям с ценными бумагами, не обращающимися на </w:t>
            </w:r>
            <w:r w:rsidRPr="0049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организованном рынке ценных бумаг, учитываемым на индивидуальном инвестиционном счете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1546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по операциям с производными финансовыми инструментами, которые обращаются на организованном рынке и базисным активом которых являются ценные бумаги, фондовые индексы или иные производные финансовые инструменты, базисным активом которых являются ценные бумаги или фондовые индексы, учитываемым на индивидуальном инвестиционном счете</w:t>
            </w:r>
            <w:proofErr w:type="gramEnd"/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1547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по операциям с производными финансовыми инструментами, не обращающимися на организованном рынке ценных бумаг, учитываемым на индивидуальном инвестиционном счете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по операциям с производными финансовыми инструментами, которые обращаются на организованном рынке и базисным активом которых не являются ценные бумаги, фондовые индексы или иные финансовые инструменты срочных сделок, базисным активом которых являются ценные бумаги или фондовые индексы, учитываемым на индивидуальном инвестиционном счете</w:t>
            </w:r>
            <w:proofErr w:type="gramEnd"/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полученные по операциям с ценными бумагами, не обращающимися на организованном рынке ценных бумаг, которые на момент их приобретения отвечали требованиям, предъявляемым к обращающимся ценным бумагам, учитываемым на индивидуальном инвестиционном счете</w:t>
            </w:r>
            <w:proofErr w:type="gramEnd"/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полученные налогоплательщиком при уступке прав требования по договору участия в долевом строительстве (договору инвестирования долевого строительства или по другому договору, связанному с долевым строительством)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1551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в виде процентов по займу, полученные по совокупности операций РЕПО, учитываемых на индивидуальном инвестиционном счете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в виде процентов, полученных в налоговом периоде по совокупности договоров займа, учитываемых на индивидуальном инвестиционном счете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по операциям, связанным с открытием короткой позиции, являющимся объектом операций РЕПО, учитываемых на индивидуальном инвестиционном счете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результате обмена ценных бумаг, переданных по первой части РЕПО, учитываемых на индивидуальном инвестиционном счете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045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Вознаграждение, получаемое налогоплательщиком за выполнение трудовых или иных обязанностей; денежное содержание, денежное </w:t>
            </w:r>
            <w:r w:rsidRPr="0049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довольствие, не подпадающее под действие пункта 29 статьи 217 Налогового кодекса Российской Федерации и иные налогооблагаемые выплаты военнослужащим и приравненным к ним категориям физических лиц (кроме выплат по договорам гражданско-правового характера)</w:t>
            </w: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2001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Вознаграждение директоров и иные аналогичные выплаты, получаемые членами органа управления организации (совета директоров или иного подобного органа)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Суммы премий, выплачиваемых за производственные результаты и иные подобные показатели, предусмотренные нормами законодательства Российской Федерации, трудовыми договорами (контрактами) и (или) коллективными договорами (выплачиваемые не за счет сре</w:t>
            </w: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ибыли организации, не за счет средств специального назначения или целевых поступлений)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Суммы вознаграждений, выплачиваемых за счет сре</w:t>
            </w: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ибыли организации, средств специального назначения или целевых поступлений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Выплаты по договорам гражданско-правового характера (за исключением авторских вознаграждений)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Суммы отпускных выплат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Авторские вознаграждения (вознаграждения) за создание литературных произведений, в том числе для театра, кино, эстрады и цирка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Авторские вознаграждения (вознаграждения) за создание художественно-графических произведений, фоторабот для печати, произведений архитектуры и дизайна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Авторские вознаграждения (вознаграждения) за создание произведений скульптуры, монументально декоративной живописи, декоративно-прикладного и оформительского искусства, станковой живописи, театральн</w:t>
            </w: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 xml:space="preserve"> и кинодекорационного искусства и графики, выполненных в различной технике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Авторские вознаграждения (вознаграждения) за создание аудиовизуальных произведений (видео-, теле- и кинофильмов)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8045" w:type="dxa"/>
          </w:tcPr>
          <w:p w:rsidR="00124A64" w:rsidRPr="00490C30" w:rsidRDefault="00124A64" w:rsidP="00490C30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Авторские вознаграждения (вознаграждения) за создание музыкальных произведений: музыкально-сценических произведений (опер, балетов, музыкальных комедий), симфонических, хоровых, камерных произведений, произведений для духового оркестра, оригинальной музыки для кино-, теле- и видеофильмов и театральных постановок</w:t>
            </w:r>
            <w:proofErr w:type="gramEnd"/>
          </w:p>
          <w:p w:rsidR="009A269D" w:rsidRPr="00490C30" w:rsidRDefault="009A269D" w:rsidP="00490C30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Авторские вознаграждения (вознаграждения) за создание других музыкальных произведений, в том числе подготовленных к опубликованию</w:t>
            </w:r>
          </w:p>
          <w:p w:rsidR="009A269D" w:rsidRPr="00490C30" w:rsidRDefault="009A269D" w:rsidP="00490C3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2207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Авторские вознаграждения (вознаграждения) за исполнение произведений литературы и искусства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2208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Авторские вознаграждения (вознаграждения) за создание научных трудов и разработок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2209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Авторские вознаграждения за открытия, изобретения, полезные модели, промышленные образцы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Вознаграждение, выплачиваемое наследникам (правопреемникам) авторов произведений науки, литературы, искусства, а также открытий, изобретений и промышленных образцов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Пособие по временной нетрудоспособности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полученные от предоставления в аренду или иного использования любых транспортных средств, включая морские, речные, воздушные суда и автомобильные транспортные средства, в связи с перевозками, а также штрафы и иные санкции за простой (задержку) таких транспортных сре</w:t>
            </w: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унктах погрузки (выгрузки); доходы, полученные от предоставления в аренду или иного использования трубопроводов, линий электропередачи (ЛЭП), линий оптико-волоконной и (или) беспроводной связи, иных сре</w:t>
            </w: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язи, включая компьютерные сети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Оплата за налогоплательщика организациями или индивидуальными предпринимателями товаров (работ, услуг) или имущественных прав, в том числе коммунальных услуг, питания, отдыха, обучения в интересах налогоплательщика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Доход, полученный налогоплательщиком в натуральной форме, в виде полной или частичной оплаты товаров, выполненных в интересах налогоплательщика работ, оказанных в интересах налогоплательщика услуг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Оплата труда в натуральной форме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Материальная выгода, полученная от экономии на процентах за пользование налогоплательщиком заемными (кредитными) средствами, полученными от организаций или индивидуальных предпринимателей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Материальная выгода, полученная от приобретения товаров (работ, услуг) в соответствии с гражданско-правовым договором у физических лиц, организаций и индивидуальных предпринимателей, являющихся взаимозависимыми по отношению к налогоплательщику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Материальная выгода, полученная от приобретения ценных бумаг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2641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Материальная выгода, полученная от приобретения производных финансовых инструментов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(за исключением материальной помощи, оказываемой работодателями своим работникам, а также бывшим своим работникам, уволившимся в связи с выходом на пенсию по инвалидности или по возрасту, материальной помощи, оказываемой инвалидам общественными организациями инвалидов, и единовременной материальной помощи, оказываемой работодателями работникам (родителям, усыновителям, опекунам) при рождении (усыновлении (удочерении)) ребенка)</w:t>
            </w:r>
            <w:proofErr w:type="gramEnd"/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2720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Стоимость подарков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Стоимость призов в денежной и натуральной формах, полученных на конкурсах и соревнованиях, проводимых в соответствии с решениями Правительства Российской Федерации, законодательных (представительных) органов государственной власти или представительных органов местного самоуправления</w:t>
            </w:r>
            <w:proofErr w:type="gramEnd"/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Стоимость выигрышей и призов, получаемых в проводимых конкурсах, играх и других мероприятиях в целях рекламы товаров, работ и услуг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Стоимость призов в денежной и натуральной формах, полученных на конкурсах и соревнованиях, проводимых не в соответствии с решениями Правительства Российской Федерации, законодательных (представительных) органов государственной власти или представительных органов местного самоуправления и не в целях рекламы товаров (работ и услуг)</w:t>
            </w:r>
            <w:proofErr w:type="gramEnd"/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2760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оказываемая работодателями своим работникам, а также бывшим своим работникам, уволившимся в связи с выходом на пенсию по инвалидности или по возрасту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оказываемая инвалидам общественными организациями инвалидов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2762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Суммы единовременной материальной помощи, оказываемой работодателями работникам (родителям, усыновителям, опекунам) при рождении (усыновлении (удочерении)) ребенка</w:t>
            </w:r>
            <w:proofErr w:type="gramEnd"/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Возмещение (оплата) работодателями своим работникам, их супругам, родителям и детям, бывшим своим работникам (пенсионерам по возрасту), а также инвалидам стоимости приобретенных ими (для них) медикаментов, назначенных им лечащим врачом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2780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(оплата) стоимости приобретенных налогоплательщиком (для налогоплательщика) медикаментов, назначенных им лечащим врачом, в иных случаях, не подпадающих под действие </w:t>
            </w:r>
            <w:hyperlink r:id="rId4" w:history="1">
              <w:r w:rsidRPr="00490C30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пункта 28 статьи 217</w:t>
              </w:r>
            </w:hyperlink>
            <w:r w:rsidRPr="00490C30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Сумма помощи (в денежной и натуральной формах), а также стоимость подарков, полученных ветеранами Великой Отечественной войны, инвалидами Великой Отечественной войны, вдовами военнослужащих, погибших в период войны с Финляндией, Великой Отечественной войны, войны с Японией, вдовами умерших инвалидов Великой Отечественной войны и бывшими узниками нацистских концлагерей, тюрем и гетто, а также бывшими несовершеннолетними узниками концлагерей, гетто и других мест принудительного содержания</w:t>
            </w:r>
            <w:proofErr w:type="gramEnd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, созданных фашистами и их союзниками в период</w:t>
            </w: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Проценты (дисконт), полученные при оплате предъявленного к платежу векселя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8045" w:type="dxa"/>
          </w:tcPr>
          <w:p w:rsidR="006B26B6" w:rsidRPr="00490C30" w:rsidRDefault="006B26B6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Доходы, полученные от операций с иностранной валютой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8045" w:type="dxa"/>
          </w:tcPr>
          <w:p w:rsidR="00910C21" w:rsidRPr="00490C30" w:rsidRDefault="00910C21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в виде выигрышей, полученных в букмекерской конторе и тотализаторе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8045" w:type="dxa"/>
          </w:tcPr>
          <w:p w:rsidR="00910C21" w:rsidRPr="00490C30" w:rsidRDefault="00910C21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в виде процентов, получаемых по вкладам в банках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3022</w:t>
            </w:r>
          </w:p>
        </w:tc>
        <w:tc>
          <w:tcPr>
            <w:tcW w:w="8045" w:type="dxa"/>
          </w:tcPr>
          <w:p w:rsidR="00910C21" w:rsidRPr="00490C30" w:rsidRDefault="00910C21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Доходы в виде платы за использование денежных сре</w:t>
            </w:r>
            <w:proofErr w:type="gramStart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дств чл</w:t>
            </w:r>
            <w:proofErr w:type="gramEnd"/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енов кредитного потребительского кооператива (пайщиков), процентов за использование сельскохозяйственным кредитным потребительским кооперативом средств,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9D" w:rsidRPr="00490C30" w:rsidTr="009A269D">
        <w:tc>
          <w:tcPr>
            <w:tcW w:w="1526" w:type="dxa"/>
          </w:tcPr>
          <w:p w:rsidR="009A269D" w:rsidRPr="00490C30" w:rsidRDefault="00124A64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8045" w:type="dxa"/>
          </w:tcPr>
          <w:p w:rsidR="00910C21" w:rsidRPr="00490C30" w:rsidRDefault="00910C21" w:rsidP="00490C30">
            <w:pPr>
              <w:wordWrap w:val="0"/>
              <w:spacing w:before="100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0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  <w:p w:rsidR="009A269D" w:rsidRPr="00490C30" w:rsidRDefault="009A269D" w:rsidP="00490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A25" w:rsidRPr="00490C30" w:rsidRDefault="001A6A25" w:rsidP="00490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A25" w:rsidRPr="00490C30" w:rsidSect="00EE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A25"/>
    <w:rsid w:val="00124A64"/>
    <w:rsid w:val="001A6A25"/>
    <w:rsid w:val="001E61B9"/>
    <w:rsid w:val="00490C30"/>
    <w:rsid w:val="006479CE"/>
    <w:rsid w:val="006B26B6"/>
    <w:rsid w:val="00910C21"/>
    <w:rsid w:val="009A269D"/>
    <w:rsid w:val="00AC4861"/>
    <w:rsid w:val="00E137C9"/>
    <w:rsid w:val="00EE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B26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3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3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8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0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0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8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2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0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0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6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1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2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8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5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3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70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2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4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0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5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7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4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9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1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73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9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0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1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cgi/online.cgi?req=doc&amp;base=LAW&amp;n=208015&amp;rnd=238783.58587825&amp;dst=159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2017-01-12T08:32:00Z</dcterms:created>
  <dcterms:modified xsi:type="dcterms:W3CDTF">2017-01-12T09:09:00Z</dcterms:modified>
</cp:coreProperties>
</file>