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DC7" w:rsidRPr="00AF06E3" w:rsidRDefault="00F07DC7" w:rsidP="009C0B55">
      <w:pPr>
        <w:pStyle w:val="ConsPlusNormal"/>
        <w:tabs>
          <w:tab w:val="left" w:pos="426"/>
        </w:tabs>
        <w:ind w:left="6946" w:firstLine="0"/>
        <w:outlineLvl w:val="0"/>
        <w:rPr>
          <w:rFonts w:ascii="Times New Roman" w:hAnsi="Times New Roman"/>
          <w:sz w:val="28"/>
          <w:szCs w:val="28"/>
        </w:rPr>
      </w:pPr>
      <w:bookmarkStart w:id="0" w:name="OLE_LINK1"/>
      <w:bookmarkStart w:id="1" w:name="OLE_LINK2"/>
      <w:r w:rsidRPr="00AF06E3">
        <w:rPr>
          <w:rFonts w:ascii="Times New Roman" w:hAnsi="Times New Roman"/>
          <w:sz w:val="28"/>
          <w:szCs w:val="28"/>
        </w:rPr>
        <w:t>Проект</w:t>
      </w:r>
    </w:p>
    <w:p w:rsidR="00F07DC7" w:rsidRPr="00AF06E3" w:rsidRDefault="00F07DC7" w:rsidP="009C0B55">
      <w:pPr>
        <w:pStyle w:val="ConsPlusNormal"/>
        <w:tabs>
          <w:tab w:val="left" w:pos="426"/>
        </w:tabs>
        <w:ind w:left="6946" w:firstLine="0"/>
        <w:outlineLvl w:val="0"/>
        <w:rPr>
          <w:rFonts w:ascii="Times New Roman" w:hAnsi="Times New Roman"/>
          <w:sz w:val="28"/>
          <w:szCs w:val="28"/>
        </w:rPr>
      </w:pPr>
      <w:r w:rsidRPr="00AF06E3">
        <w:rPr>
          <w:rFonts w:ascii="Times New Roman" w:hAnsi="Times New Roman"/>
          <w:sz w:val="28"/>
          <w:szCs w:val="28"/>
        </w:rPr>
        <w:t>вносится Правительством Российской Федерации</w:t>
      </w:r>
    </w:p>
    <w:p w:rsidR="00F07DC7" w:rsidRDefault="00F07DC7" w:rsidP="00276F8A">
      <w:pPr>
        <w:pStyle w:val="ConsPlusNormal"/>
        <w:tabs>
          <w:tab w:val="left" w:pos="426"/>
        </w:tabs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F07DC7" w:rsidRPr="001E7C18" w:rsidRDefault="00F07DC7" w:rsidP="00A01DF2">
      <w:pPr>
        <w:pStyle w:val="ConsPlusNormal"/>
        <w:tabs>
          <w:tab w:val="left" w:pos="426"/>
        </w:tabs>
        <w:ind w:firstLine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E7C18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F07DC7" w:rsidRPr="001E7C18" w:rsidRDefault="00F07DC7" w:rsidP="00A01DF2">
      <w:pPr>
        <w:pStyle w:val="ConsPlusNormal"/>
        <w:tabs>
          <w:tab w:val="left" w:pos="426"/>
        </w:tabs>
        <w:ind w:firstLine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07DC7" w:rsidRDefault="00F07DC7" w:rsidP="00A01DF2">
      <w:pPr>
        <w:pStyle w:val="ConsPlusNormal"/>
        <w:tabs>
          <w:tab w:val="left" w:pos="426"/>
        </w:tabs>
        <w:ind w:firstLine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E7C18">
        <w:rPr>
          <w:rFonts w:ascii="Times New Roman" w:hAnsi="Times New Roman"/>
          <w:b/>
          <w:sz w:val="28"/>
          <w:szCs w:val="28"/>
        </w:rPr>
        <w:t>ФЕДЕРАЛЬНЫЙ ЗАКОН</w:t>
      </w:r>
    </w:p>
    <w:p w:rsidR="00B36093" w:rsidRPr="001E7C18" w:rsidRDefault="00B36093" w:rsidP="00A01DF2">
      <w:pPr>
        <w:pStyle w:val="ConsPlusNormal"/>
        <w:tabs>
          <w:tab w:val="left" w:pos="426"/>
        </w:tabs>
        <w:ind w:firstLine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C2BAE" w:rsidRDefault="00F07DC7" w:rsidP="00A01DF2">
      <w:pPr>
        <w:pStyle w:val="ConsPlusNormal"/>
        <w:tabs>
          <w:tab w:val="left" w:pos="426"/>
        </w:tabs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E7C18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1E7671">
        <w:rPr>
          <w:rFonts w:ascii="Times New Roman" w:hAnsi="Times New Roman" w:cs="Times New Roman"/>
          <w:b/>
          <w:sz w:val="28"/>
          <w:szCs w:val="28"/>
        </w:rPr>
        <w:t>я</w:t>
      </w:r>
      <w:r w:rsidRPr="001E7C18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66237A">
        <w:rPr>
          <w:rFonts w:ascii="Times New Roman" w:hAnsi="Times New Roman" w:cs="Times New Roman"/>
          <w:b/>
          <w:sz w:val="28"/>
          <w:szCs w:val="28"/>
        </w:rPr>
        <w:t>статью 342</w:t>
      </w:r>
      <w:r w:rsidR="009813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237A">
        <w:rPr>
          <w:rFonts w:ascii="Times New Roman" w:hAnsi="Times New Roman" w:cs="Times New Roman"/>
          <w:b/>
          <w:sz w:val="28"/>
          <w:szCs w:val="28"/>
        </w:rPr>
        <w:t>ч</w:t>
      </w:r>
      <w:r w:rsidRPr="001E7C18">
        <w:rPr>
          <w:rFonts w:ascii="Times New Roman" w:hAnsi="Times New Roman" w:cs="Times New Roman"/>
          <w:b/>
          <w:sz w:val="28"/>
          <w:szCs w:val="28"/>
        </w:rPr>
        <w:t>асти второй</w:t>
      </w:r>
      <w:r w:rsidR="008D07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7C18">
        <w:rPr>
          <w:rFonts w:ascii="Times New Roman" w:hAnsi="Times New Roman" w:cs="Times New Roman"/>
          <w:b/>
          <w:sz w:val="28"/>
          <w:szCs w:val="28"/>
        </w:rPr>
        <w:t>Налогового кодекса Российской Федерации</w:t>
      </w:r>
      <w:r w:rsidR="002F53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07750" w:rsidRPr="00907750" w:rsidRDefault="00907750" w:rsidP="00A01DF2">
      <w:pPr>
        <w:pStyle w:val="ConsPlusNormal"/>
        <w:tabs>
          <w:tab w:val="left" w:pos="426"/>
        </w:tabs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части изменения ставки налога на добычу полезных ископаемых при добыче газа горючего природного)</w:t>
      </w:r>
    </w:p>
    <w:p w:rsidR="00F07DC7" w:rsidRDefault="00F07DC7" w:rsidP="00747226">
      <w:pPr>
        <w:pStyle w:val="ConsPlusNormal"/>
        <w:tabs>
          <w:tab w:val="left" w:pos="42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7DC7" w:rsidRPr="001E7C18" w:rsidRDefault="00F07DC7" w:rsidP="00747226">
      <w:pPr>
        <w:pStyle w:val="ConsPlusNormal"/>
        <w:tabs>
          <w:tab w:val="left" w:pos="426"/>
        </w:tabs>
        <w:ind w:firstLine="851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1E7C18">
        <w:rPr>
          <w:rFonts w:ascii="Times New Roman" w:hAnsi="Times New Roman"/>
          <w:b/>
          <w:sz w:val="28"/>
          <w:szCs w:val="28"/>
        </w:rPr>
        <w:t>Статья 1</w:t>
      </w:r>
    </w:p>
    <w:p w:rsidR="000A5C8F" w:rsidRPr="00D91E11" w:rsidRDefault="000A5C8F" w:rsidP="007472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Подпункт 11 пункта 2 статьи 342 Налогового кодекса Российской Федерации (Собрание законодательства Российской Федерации, 2000, № 32, ст. 3340</w:t>
      </w:r>
      <w:r w:rsidRPr="000A5C8F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2001, № 33, ст. 3429</w:t>
      </w:r>
      <w:r w:rsidRPr="000A5C8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1E11">
        <w:rPr>
          <w:rFonts w:ascii="Times New Roman" w:hAnsi="Times New Roman" w:cs="Times New Roman"/>
          <w:sz w:val="28"/>
          <w:szCs w:val="28"/>
        </w:rPr>
        <w:t>№ 22, ст. 2026</w:t>
      </w:r>
      <w:r w:rsidR="00D91E11" w:rsidRPr="00D91E11">
        <w:rPr>
          <w:rFonts w:ascii="Times New Roman" w:hAnsi="Times New Roman" w:cs="Times New Roman"/>
          <w:sz w:val="28"/>
          <w:szCs w:val="28"/>
        </w:rPr>
        <w:t xml:space="preserve">; </w:t>
      </w:r>
      <w:r w:rsidR="00D91E11">
        <w:rPr>
          <w:rFonts w:ascii="Times New Roman" w:hAnsi="Times New Roman" w:cs="Times New Roman"/>
          <w:sz w:val="28"/>
          <w:szCs w:val="28"/>
        </w:rPr>
        <w:t>2003, № 28, ст. 2886</w:t>
      </w:r>
      <w:r w:rsidR="00D91E11" w:rsidRPr="00D91E11">
        <w:rPr>
          <w:rFonts w:ascii="Times New Roman" w:hAnsi="Times New Roman" w:cs="Times New Roman"/>
          <w:sz w:val="28"/>
          <w:szCs w:val="28"/>
        </w:rPr>
        <w:t>;</w:t>
      </w:r>
      <w:r w:rsidR="00D91E11">
        <w:rPr>
          <w:rFonts w:ascii="Times New Roman" w:hAnsi="Times New Roman" w:cs="Times New Roman"/>
          <w:sz w:val="28"/>
          <w:szCs w:val="28"/>
        </w:rPr>
        <w:t xml:space="preserve"> 2006, № 31, ст. 3450</w:t>
      </w:r>
      <w:r w:rsidR="00D91E11" w:rsidRPr="00D91E11">
        <w:rPr>
          <w:rFonts w:ascii="Times New Roman" w:hAnsi="Times New Roman" w:cs="Times New Roman"/>
          <w:sz w:val="28"/>
          <w:szCs w:val="28"/>
        </w:rPr>
        <w:t xml:space="preserve">; </w:t>
      </w:r>
      <w:r w:rsidR="00D91E11">
        <w:rPr>
          <w:rFonts w:ascii="Times New Roman" w:hAnsi="Times New Roman" w:cs="Times New Roman"/>
          <w:sz w:val="28"/>
          <w:szCs w:val="28"/>
        </w:rPr>
        <w:t>2007, № 1, ст. 31</w:t>
      </w:r>
      <w:r w:rsidR="00D91E11" w:rsidRPr="00D91E11">
        <w:rPr>
          <w:rFonts w:ascii="Times New Roman" w:hAnsi="Times New Roman" w:cs="Times New Roman"/>
          <w:sz w:val="28"/>
          <w:szCs w:val="28"/>
        </w:rPr>
        <w:t>;</w:t>
      </w:r>
      <w:r w:rsidR="00D91E11">
        <w:rPr>
          <w:rFonts w:ascii="Times New Roman" w:hAnsi="Times New Roman" w:cs="Times New Roman"/>
          <w:sz w:val="28"/>
          <w:szCs w:val="28"/>
        </w:rPr>
        <w:t xml:space="preserve"> 2008, № 30, ст. 3614</w:t>
      </w:r>
      <w:r w:rsidR="00D91E11" w:rsidRPr="00D91E11">
        <w:rPr>
          <w:rFonts w:ascii="Times New Roman" w:hAnsi="Times New Roman" w:cs="Times New Roman"/>
          <w:sz w:val="28"/>
          <w:szCs w:val="28"/>
        </w:rPr>
        <w:t>;</w:t>
      </w:r>
      <w:r w:rsidR="00D91E11">
        <w:rPr>
          <w:rFonts w:ascii="Times New Roman" w:hAnsi="Times New Roman" w:cs="Times New Roman"/>
          <w:sz w:val="28"/>
          <w:szCs w:val="28"/>
        </w:rPr>
        <w:t xml:space="preserve"> 2011, № 1, ст. 37</w:t>
      </w:r>
      <w:r w:rsidR="00D91E11" w:rsidRPr="00D91E11">
        <w:rPr>
          <w:rFonts w:ascii="Times New Roman" w:hAnsi="Times New Roman" w:cs="Times New Roman"/>
          <w:sz w:val="28"/>
          <w:szCs w:val="28"/>
        </w:rPr>
        <w:t>;</w:t>
      </w:r>
      <w:r w:rsidR="00D91E11">
        <w:rPr>
          <w:rFonts w:ascii="Times New Roman" w:hAnsi="Times New Roman" w:cs="Times New Roman"/>
          <w:sz w:val="28"/>
          <w:szCs w:val="28"/>
        </w:rPr>
        <w:t xml:space="preserve"> № 23, ст. 3264, 3265</w:t>
      </w:r>
      <w:r w:rsidR="00D91E11" w:rsidRPr="00D91E11">
        <w:rPr>
          <w:rFonts w:ascii="Times New Roman" w:hAnsi="Times New Roman" w:cs="Times New Roman"/>
          <w:sz w:val="28"/>
          <w:szCs w:val="28"/>
        </w:rPr>
        <w:t>;</w:t>
      </w:r>
      <w:r w:rsidR="00D91E11">
        <w:rPr>
          <w:rFonts w:ascii="Times New Roman" w:hAnsi="Times New Roman" w:cs="Times New Roman"/>
          <w:sz w:val="28"/>
          <w:szCs w:val="28"/>
        </w:rPr>
        <w:t xml:space="preserve"> № 30, ст. 4606</w:t>
      </w:r>
      <w:r w:rsidR="00AB43CC" w:rsidRPr="00AB43CC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AB43CC" w:rsidRPr="00AB43CC">
        <w:rPr>
          <w:rFonts w:ascii="Times New Roman" w:hAnsi="Times New Roman" w:cs="Times New Roman"/>
          <w:sz w:val="28"/>
          <w:szCs w:val="28"/>
        </w:rPr>
        <w:t xml:space="preserve"> </w:t>
      </w:r>
      <w:r w:rsidR="00AB43CC">
        <w:rPr>
          <w:rFonts w:ascii="Times New Roman" w:hAnsi="Times New Roman" w:cs="Times New Roman"/>
          <w:sz w:val="28"/>
          <w:szCs w:val="28"/>
        </w:rPr>
        <w:t xml:space="preserve">№ </w:t>
      </w:r>
      <w:proofErr w:type="gramStart"/>
      <w:r w:rsidR="00AB43CC">
        <w:rPr>
          <w:rFonts w:ascii="Times New Roman" w:hAnsi="Times New Roman" w:cs="Times New Roman"/>
          <w:sz w:val="28"/>
          <w:szCs w:val="28"/>
        </w:rPr>
        <w:t>49, ст. 7016</w:t>
      </w:r>
      <w:r>
        <w:rPr>
          <w:rFonts w:ascii="Times New Roman" w:hAnsi="Times New Roman" w:cs="Times New Roman"/>
          <w:sz w:val="28"/>
          <w:szCs w:val="28"/>
        </w:rPr>
        <w:t>)</w:t>
      </w:r>
      <w:r w:rsidR="00D91E1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D91E11" w:rsidRPr="00D91E11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3834CE" w:rsidRDefault="003834CE" w:rsidP="0074722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C12690" w:rsidRDefault="00D91E11" w:rsidP="0074722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«11) </w:t>
      </w:r>
      <w:r w:rsidR="005F48BB">
        <w:rPr>
          <w:sz w:val="28"/>
          <w:szCs w:val="28"/>
        </w:rPr>
        <w:t xml:space="preserve"> п</w:t>
      </w:r>
      <w:r w:rsidR="00154767">
        <w:rPr>
          <w:sz w:val="28"/>
          <w:szCs w:val="28"/>
        </w:rPr>
        <w:t xml:space="preserve">ри добыче газа горючего природного из всех видов месторождений углеводородного сырья </w:t>
      </w:r>
      <w:r w:rsidR="005E7612">
        <w:rPr>
          <w:sz w:val="28"/>
          <w:szCs w:val="28"/>
        </w:rPr>
        <w:t>за 1 000 кубических метров газа</w:t>
      </w:r>
      <w:r w:rsidR="005F48BB">
        <w:rPr>
          <w:sz w:val="28"/>
          <w:szCs w:val="28"/>
        </w:rPr>
        <w:t>,</w:t>
      </w:r>
      <w:r w:rsidR="005E7612">
        <w:rPr>
          <w:sz w:val="28"/>
          <w:szCs w:val="28"/>
        </w:rPr>
        <w:t xml:space="preserve"> </w:t>
      </w:r>
      <w:r w:rsidR="00A00E35">
        <w:rPr>
          <w:sz w:val="28"/>
          <w:szCs w:val="28"/>
        </w:rPr>
        <w:t xml:space="preserve">в рублях, </w:t>
      </w:r>
      <w:r w:rsidR="00154767">
        <w:rPr>
          <w:sz w:val="28"/>
          <w:szCs w:val="28"/>
        </w:rPr>
        <w:t>рассчитывае</w:t>
      </w:r>
      <w:r w:rsidR="005F48BB">
        <w:rPr>
          <w:sz w:val="28"/>
          <w:szCs w:val="28"/>
        </w:rPr>
        <w:t xml:space="preserve">мой </w:t>
      </w:r>
      <w:r w:rsidR="00C12690">
        <w:rPr>
          <w:sz w:val="28"/>
          <w:szCs w:val="28"/>
        </w:rPr>
        <w:t>по формуле:</w:t>
      </w:r>
    </w:p>
    <w:p w:rsidR="003834CE" w:rsidRDefault="003834CE" w:rsidP="0074722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5F48BB" w:rsidRDefault="00E124FB" w:rsidP="0074722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582+8×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К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ПГ</m:t>
                </m:r>
              </m:sup>
            </m:sSubSup>
            <m:r>
              <w:rPr>
                <w:rFonts w:ascii="Cambria Math" w:hAnsi="Cambria Math"/>
                <w:sz w:val="28"/>
                <w:szCs w:val="2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К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ПГ</m:t>
                </m:r>
              </m:sup>
            </m:sSubSup>
          </m:e>
        </m:d>
      </m:oMath>
      <w:r w:rsidR="00C12690">
        <w:rPr>
          <w:sz w:val="28"/>
          <w:szCs w:val="28"/>
        </w:rPr>
        <w:t>,</w:t>
      </w:r>
      <w:r w:rsidR="00154767">
        <w:rPr>
          <w:sz w:val="28"/>
          <w:szCs w:val="28"/>
        </w:rPr>
        <w:t xml:space="preserve">    </w:t>
      </w:r>
      <w:r w:rsidR="005F48BB">
        <w:rPr>
          <w:sz w:val="28"/>
          <w:szCs w:val="28"/>
        </w:rPr>
        <w:t>г</w:t>
      </w:r>
      <w:r w:rsidR="00C12690">
        <w:rPr>
          <w:sz w:val="28"/>
          <w:szCs w:val="28"/>
        </w:rPr>
        <w:t xml:space="preserve">де </w:t>
      </w:r>
    </w:p>
    <w:p w:rsidR="005F48BB" w:rsidRDefault="005F48BB" w:rsidP="0074722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C12690" w:rsidRDefault="00C44E85" w:rsidP="0074722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ПГ</m:t>
            </m:r>
          </m:sup>
        </m:sSubSup>
      </m:oMath>
      <w:r w:rsidR="00C12690">
        <w:rPr>
          <w:sz w:val="28"/>
          <w:szCs w:val="28"/>
        </w:rPr>
        <w:t xml:space="preserve"> </w:t>
      </w:r>
      <w:r w:rsidR="00551179">
        <w:rPr>
          <w:sz w:val="28"/>
          <w:szCs w:val="28"/>
        </w:rPr>
        <w:t>–</w:t>
      </w:r>
      <w:r w:rsidR="00C12690">
        <w:rPr>
          <w:sz w:val="28"/>
          <w:szCs w:val="28"/>
        </w:rPr>
        <w:t xml:space="preserve"> </w:t>
      </w:r>
      <w:r w:rsidR="005F48BB">
        <w:rPr>
          <w:sz w:val="28"/>
          <w:szCs w:val="28"/>
        </w:rPr>
        <w:t xml:space="preserve"> </w:t>
      </w:r>
      <w:r w:rsidR="00551179" w:rsidRPr="00551179">
        <w:rPr>
          <w:sz w:val="28"/>
          <w:szCs w:val="28"/>
        </w:rPr>
        <w:t>коэффициент</w:t>
      </w:r>
      <w:r w:rsidR="005F48BB">
        <w:rPr>
          <w:sz w:val="28"/>
          <w:szCs w:val="28"/>
        </w:rPr>
        <w:t>,</w:t>
      </w:r>
      <w:r w:rsidR="00551179">
        <w:rPr>
          <w:sz w:val="28"/>
          <w:szCs w:val="28"/>
        </w:rPr>
        <w:t xml:space="preserve"> </w:t>
      </w:r>
      <w:r w:rsidR="00533240">
        <w:rPr>
          <w:sz w:val="28"/>
          <w:szCs w:val="28"/>
        </w:rPr>
        <w:t>устанавлива</w:t>
      </w:r>
      <w:r w:rsidR="005F48BB">
        <w:rPr>
          <w:sz w:val="28"/>
          <w:szCs w:val="28"/>
        </w:rPr>
        <w:t>емый</w:t>
      </w:r>
      <w:r w:rsidR="00533240">
        <w:rPr>
          <w:sz w:val="28"/>
          <w:szCs w:val="28"/>
        </w:rPr>
        <w:t xml:space="preserve"> </w:t>
      </w:r>
      <w:r w:rsidR="00C12690">
        <w:rPr>
          <w:sz w:val="28"/>
          <w:szCs w:val="28"/>
        </w:rPr>
        <w:t xml:space="preserve">на период с 1 </w:t>
      </w:r>
      <w:r w:rsidR="002134DC">
        <w:rPr>
          <w:sz w:val="28"/>
          <w:szCs w:val="28"/>
        </w:rPr>
        <w:t>июля</w:t>
      </w:r>
      <w:r w:rsidR="00C12690">
        <w:rPr>
          <w:sz w:val="28"/>
          <w:szCs w:val="28"/>
        </w:rPr>
        <w:t xml:space="preserve"> 2013 года по 31 декабря 201</w:t>
      </w:r>
      <w:r w:rsidR="002134DC">
        <w:rPr>
          <w:sz w:val="28"/>
          <w:szCs w:val="28"/>
        </w:rPr>
        <w:t>3</w:t>
      </w:r>
      <w:r w:rsidR="00C12690">
        <w:rPr>
          <w:sz w:val="28"/>
          <w:szCs w:val="28"/>
        </w:rPr>
        <w:t xml:space="preserve"> года включительно </w:t>
      </w:r>
      <w:r w:rsidR="00533240">
        <w:rPr>
          <w:sz w:val="28"/>
          <w:szCs w:val="28"/>
        </w:rPr>
        <w:t>в размере 0</w:t>
      </w:r>
      <w:r w:rsidR="005F48BB">
        <w:rPr>
          <w:sz w:val="28"/>
          <w:szCs w:val="28"/>
        </w:rPr>
        <w:t xml:space="preserve">;  </w:t>
      </w:r>
      <w:r w:rsidR="00C12690">
        <w:rPr>
          <w:sz w:val="28"/>
          <w:szCs w:val="28"/>
        </w:rPr>
        <w:t>на период с 1 января 2014 года по 31 декабря 201</w:t>
      </w:r>
      <w:r w:rsidR="00533240">
        <w:rPr>
          <w:sz w:val="28"/>
          <w:szCs w:val="28"/>
        </w:rPr>
        <w:t>4</w:t>
      </w:r>
      <w:r w:rsidR="00C12690">
        <w:rPr>
          <w:sz w:val="28"/>
          <w:szCs w:val="28"/>
        </w:rPr>
        <w:t xml:space="preserve"> года включительно</w:t>
      </w:r>
      <w:r w:rsidR="005F48BB">
        <w:rPr>
          <w:sz w:val="28"/>
          <w:szCs w:val="28"/>
        </w:rPr>
        <w:t xml:space="preserve"> – </w:t>
      </w:r>
      <w:r w:rsidR="00385044">
        <w:rPr>
          <w:sz w:val="28"/>
          <w:szCs w:val="28"/>
        </w:rPr>
        <w:t xml:space="preserve">в размере </w:t>
      </w:r>
      <w:r w:rsidR="00C12690">
        <w:rPr>
          <w:sz w:val="28"/>
          <w:szCs w:val="28"/>
        </w:rPr>
        <w:t xml:space="preserve">5, на период с 1 января 2015 года </w:t>
      </w:r>
      <w:proofErr w:type="gramStart"/>
      <w:r w:rsidR="00C12690">
        <w:rPr>
          <w:sz w:val="28"/>
          <w:szCs w:val="28"/>
        </w:rPr>
        <w:t>по</w:t>
      </w:r>
      <w:proofErr w:type="gramEnd"/>
      <w:r w:rsidR="00C12690">
        <w:rPr>
          <w:sz w:val="28"/>
          <w:szCs w:val="28"/>
        </w:rPr>
        <w:t xml:space="preserve"> 31 декабря 2015 года включительно</w:t>
      </w:r>
      <w:r w:rsidR="005F48BB">
        <w:rPr>
          <w:sz w:val="28"/>
          <w:szCs w:val="28"/>
        </w:rPr>
        <w:t xml:space="preserve"> – </w:t>
      </w:r>
      <w:r w:rsidR="00C12690">
        <w:rPr>
          <w:sz w:val="28"/>
          <w:szCs w:val="28"/>
        </w:rPr>
        <w:t xml:space="preserve"> </w:t>
      </w:r>
      <w:r w:rsidR="00385044">
        <w:rPr>
          <w:sz w:val="28"/>
          <w:szCs w:val="28"/>
        </w:rPr>
        <w:t xml:space="preserve">в размере </w:t>
      </w:r>
      <w:r w:rsidR="00C12690">
        <w:rPr>
          <w:sz w:val="28"/>
          <w:szCs w:val="28"/>
        </w:rPr>
        <w:t>8.</w:t>
      </w:r>
    </w:p>
    <w:p w:rsidR="00F66C0B" w:rsidRDefault="00C44E85" w:rsidP="0074722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ПГ</m:t>
            </m:r>
          </m:sup>
        </m:sSubSup>
      </m:oMath>
      <w:r w:rsidR="005F48BB">
        <w:rPr>
          <w:sz w:val="28"/>
          <w:szCs w:val="28"/>
        </w:rPr>
        <w:t xml:space="preserve"> –</w:t>
      </w:r>
      <w:r w:rsidR="00F66C0B">
        <w:rPr>
          <w:sz w:val="28"/>
          <w:szCs w:val="28"/>
        </w:rPr>
        <w:t xml:space="preserve"> коэффициент</w:t>
      </w:r>
      <w:r w:rsidR="00E124FB">
        <w:rPr>
          <w:sz w:val="28"/>
          <w:szCs w:val="28"/>
        </w:rPr>
        <w:t>,</w:t>
      </w:r>
      <w:r w:rsidR="00F66C0B">
        <w:rPr>
          <w:sz w:val="28"/>
          <w:szCs w:val="28"/>
        </w:rPr>
        <w:t xml:space="preserve"> определяемый по формуле: </w:t>
      </w:r>
    </w:p>
    <w:p w:rsidR="00F66C0B" w:rsidRDefault="00F66C0B" w:rsidP="0074722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F66C0B" w:rsidRDefault="00C44E85" w:rsidP="0074722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ПГ</m:t>
            </m:r>
          </m:sup>
        </m:sSubSup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15</m:t>
            </m:r>
          </m:den>
        </m:f>
        <m:r>
          <w:rPr>
            <w:rFonts w:ascii="Cambria Math" w:hAnsi="Cambria Math"/>
            <w:sz w:val="28"/>
            <w:szCs w:val="28"/>
          </w:rPr>
          <m:t>×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К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ПГ</m:t>
                </m:r>
              </m:sup>
            </m:sSubSup>
            <m:r>
              <w:rPr>
                <w:rFonts w:ascii="Cambria Math" w:hAnsi="Cambria Math"/>
                <w:sz w:val="28"/>
                <w:szCs w:val="28"/>
              </w:rPr>
              <m:t>-1</m:t>
            </m:r>
          </m:e>
        </m:d>
        <m:r>
          <w:rPr>
            <w:rFonts w:ascii="Cambria Math" w:hAnsi="Cambria Math"/>
            <w:sz w:val="28"/>
            <w:szCs w:val="28"/>
          </w:rPr>
          <m:t>×100</m:t>
        </m:r>
      </m:oMath>
      <w:r w:rsidR="00F66C0B">
        <w:rPr>
          <w:sz w:val="28"/>
          <w:szCs w:val="28"/>
        </w:rPr>
        <w:t>,</w:t>
      </w:r>
      <w:r w:rsidR="009D2FB1">
        <w:rPr>
          <w:sz w:val="28"/>
          <w:szCs w:val="28"/>
        </w:rPr>
        <w:t xml:space="preserve"> где</w:t>
      </w:r>
    </w:p>
    <w:p w:rsidR="00F66C0B" w:rsidRDefault="00F66C0B" w:rsidP="0074722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9F383B" w:rsidRDefault="00C44E85" w:rsidP="00E1444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ПГ</m:t>
            </m:r>
          </m:sup>
        </m:sSubSup>
      </m:oMath>
      <w:r w:rsidR="00F66C0B" w:rsidRPr="00144559">
        <w:rPr>
          <w:sz w:val="28"/>
          <w:szCs w:val="28"/>
        </w:rPr>
        <w:t xml:space="preserve"> </w:t>
      </w:r>
      <w:r w:rsidR="0064353A" w:rsidRPr="00144559">
        <w:rPr>
          <w:sz w:val="28"/>
          <w:szCs w:val="28"/>
        </w:rPr>
        <w:t>–</w:t>
      </w:r>
      <w:r w:rsidR="00F66C0B" w:rsidRPr="00144559">
        <w:rPr>
          <w:sz w:val="28"/>
          <w:szCs w:val="28"/>
        </w:rPr>
        <w:t xml:space="preserve"> </w:t>
      </w:r>
      <w:r w:rsidR="0069104D" w:rsidRPr="00144559">
        <w:rPr>
          <w:sz w:val="28"/>
          <w:szCs w:val="28"/>
        </w:rPr>
        <w:t>коэффициент</w:t>
      </w:r>
      <w:r w:rsidR="0064353A" w:rsidRPr="00144559">
        <w:rPr>
          <w:sz w:val="28"/>
          <w:szCs w:val="28"/>
        </w:rPr>
        <w:t>-дефлятор</w:t>
      </w:r>
      <w:r w:rsidR="005F48BB" w:rsidRPr="00144559">
        <w:rPr>
          <w:sz w:val="28"/>
          <w:szCs w:val="28"/>
        </w:rPr>
        <w:t xml:space="preserve">, учитывающий </w:t>
      </w:r>
      <w:r w:rsidR="00E124FB">
        <w:rPr>
          <w:sz w:val="28"/>
          <w:szCs w:val="28"/>
        </w:rPr>
        <w:t xml:space="preserve">для целей определения налоговой ставки </w:t>
      </w:r>
      <w:bookmarkStart w:id="2" w:name="_GoBack"/>
      <w:bookmarkEnd w:id="2"/>
      <w:r w:rsidR="00E124FB">
        <w:rPr>
          <w:sz w:val="28"/>
          <w:szCs w:val="28"/>
        </w:rPr>
        <w:t>при добыче газа горючего природного из всех видов мест</w:t>
      </w:r>
      <w:r w:rsidR="00E14442">
        <w:rPr>
          <w:sz w:val="28"/>
          <w:szCs w:val="28"/>
        </w:rPr>
        <w:t>орождений углеводородного сырья</w:t>
      </w:r>
      <w:r w:rsidR="00787FC5">
        <w:rPr>
          <w:sz w:val="28"/>
          <w:szCs w:val="28"/>
        </w:rPr>
        <w:t xml:space="preserve"> </w:t>
      </w:r>
      <w:r w:rsidR="00E14442">
        <w:rPr>
          <w:sz w:val="28"/>
          <w:szCs w:val="28"/>
        </w:rPr>
        <w:t>средние параметры</w:t>
      </w:r>
      <w:r w:rsidR="00A00E35">
        <w:rPr>
          <w:sz w:val="28"/>
          <w:szCs w:val="28"/>
        </w:rPr>
        <w:t xml:space="preserve"> ежегодного изменения оптовых цен на газ</w:t>
      </w:r>
      <w:r w:rsidR="00A00E35" w:rsidRPr="00A00E35">
        <w:rPr>
          <w:sz w:val="28"/>
          <w:szCs w:val="28"/>
        </w:rPr>
        <w:t xml:space="preserve"> </w:t>
      </w:r>
      <w:r w:rsidR="00A00E35" w:rsidRPr="00144559">
        <w:rPr>
          <w:sz w:val="28"/>
          <w:szCs w:val="28"/>
        </w:rPr>
        <w:t>для всех категорий потребителей, кроме населения</w:t>
      </w:r>
      <w:r w:rsidR="00E14442">
        <w:rPr>
          <w:sz w:val="28"/>
          <w:szCs w:val="28"/>
        </w:rPr>
        <w:t>,</w:t>
      </w:r>
      <w:r w:rsidR="00A00E35">
        <w:rPr>
          <w:sz w:val="28"/>
          <w:szCs w:val="28"/>
        </w:rPr>
        <w:t xml:space="preserve"> устана</w:t>
      </w:r>
      <w:r w:rsidR="00E14442">
        <w:rPr>
          <w:sz w:val="28"/>
          <w:szCs w:val="28"/>
        </w:rPr>
        <w:t>вливаемые</w:t>
      </w:r>
      <w:r w:rsidR="00A00E35">
        <w:rPr>
          <w:sz w:val="28"/>
          <w:szCs w:val="28"/>
        </w:rPr>
        <w:t xml:space="preserve">  </w:t>
      </w:r>
      <w:r w:rsidR="00A00E35" w:rsidRPr="00144559">
        <w:rPr>
          <w:sz w:val="28"/>
          <w:szCs w:val="28"/>
        </w:rPr>
        <w:t>Правительством Российской Федерации</w:t>
      </w:r>
      <w:r w:rsidR="00E14442">
        <w:rPr>
          <w:sz w:val="28"/>
          <w:szCs w:val="28"/>
        </w:rPr>
        <w:t>, начиная с 1 июля 2013 года.</w:t>
      </w:r>
    </w:p>
    <w:p w:rsidR="00A4603E" w:rsidRDefault="00E124FB" w:rsidP="00A4603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Порядок</w:t>
      </w:r>
      <w:r w:rsidRPr="00144559">
        <w:rPr>
          <w:sz w:val="28"/>
          <w:szCs w:val="28"/>
        </w:rPr>
        <w:t xml:space="preserve"> </w:t>
      </w:r>
      <w:r w:rsidR="00572274">
        <w:rPr>
          <w:sz w:val="28"/>
          <w:szCs w:val="28"/>
        </w:rPr>
        <w:t xml:space="preserve">определения и </w:t>
      </w:r>
      <w:r>
        <w:rPr>
          <w:sz w:val="28"/>
          <w:szCs w:val="28"/>
        </w:rPr>
        <w:t>официального опубликования</w:t>
      </w:r>
      <w:proofErr w:type="gramStart"/>
      <w:r w:rsidRPr="00144559">
        <w:rPr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  <w:proofErr w:type="gramEnd"/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ПГ</m:t>
            </m:r>
          </m:sup>
        </m:sSubSup>
      </m:oMath>
      <w:r w:rsidRPr="001445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устанавливается </w:t>
      </w:r>
      <w:r w:rsidRPr="00144559">
        <w:rPr>
          <w:sz w:val="28"/>
          <w:szCs w:val="28"/>
        </w:rPr>
        <w:t>Правительством Российской Федерации.</w:t>
      </w:r>
    </w:p>
    <w:p w:rsidR="00A00E35" w:rsidRDefault="00A00E35" w:rsidP="00A4603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порядок определения</w:t>
      </w:r>
      <w:proofErr w:type="gramStart"/>
      <w:r>
        <w:rPr>
          <w:sz w:val="28"/>
          <w:szCs w:val="28"/>
        </w:rPr>
        <w:t xml:space="preserve"> 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  <w:proofErr w:type="gramEnd"/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ПГ</m:t>
            </m:r>
          </m:sup>
        </m:sSubSup>
      </m:oMath>
      <w:r>
        <w:rPr>
          <w:sz w:val="28"/>
          <w:szCs w:val="28"/>
        </w:rPr>
        <w:t xml:space="preserve"> не установлен</w:t>
      </w:r>
      <w:r w:rsidR="00E1444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ПГ</m:t>
            </m:r>
          </m:sup>
        </m:sSubSup>
      </m:oMath>
      <w:r>
        <w:rPr>
          <w:sz w:val="28"/>
          <w:szCs w:val="28"/>
        </w:rPr>
        <w:t xml:space="preserve"> принимается равным 1.</w:t>
      </w:r>
    </w:p>
    <w:p w:rsidR="003532EE" w:rsidRDefault="001A1DE4" w:rsidP="0074722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Коэффициент</w:t>
      </w:r>
      <w:proofErr w:type="gramStart"/>
      <w:r>
        <w:rPr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  <w:proofErr w:type="gramEnd"/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ПГ</m:t>
            </m:r>
          </m:sup>
        </m:sSubSup>
      </m:oMath>
      <w:r>
        <w:rPr>
          <w:sz w:val="28"/>
          <w:szCs w:val="28"/>
        </w:rPr>
        <w:t>, р</w:t>
      </w:r>
      <w:proofErr w:type="spellStart"/>
      <w:r w:rsidR="009D2FB1">
        <w:rPr>
          <w:sz w:val="28"/>
          <w:szCs w:val="28"/>
        </w:rPr>
        <w:t>ассчитанный</w:t>
      </w:r>
      <w:proofErr w:type="spellEnd"/>
      <w:r w:rsidR="009D2FB1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соответствии с</w:t>
      </w:r>
      <w:r w:rsidR="009D2FB1">
        <w:rPr>
          <w:sz w:val="28"/>
          <w:szCs w:val="28"/>
        </w:rPr>
        <w:t xml:space="preserve"> настоящим </w:t>
      </w:r>
      <w:r w:rsidR="00F2551B">
        <w:rPr>
          <w:sz w:val="28"/>
          <w:szCs w:val="28"/>
        </w:rPr>
        <w:t>под</w:t>
      </w:r>
      <w:r w:rsidR="009D2FB1">
        <w:rPr>
          <w:sz w:val="28"/>
          <w:szCs w:val="28"/>
        </w:rPr>
        <w:t xml:space="preserve">пунктом, округляется до </w:t>
      </w:r>
      <w:r>
        <w:rPr>
          <w:sz w:val="28"/>
          <w:szCs w:val="28"/>
        </w:rPr>
        <w:t>второго</w:t>
      </w:r>
      <w:r w:rsidR="009D2FB1">
        <w:rPr>
          <w:sz w:val="28"/>
          <w:szCs w:val="28"/>
        </w:rPr>
        <w:t xml:space="preserve"> знака в соответствии с действующим порядком округления.</w:t>
      </w:r>
    </w:p>
    <w:p w:rsidR="00FB68DB" w:rsidRDefault="003532EE" w:rsidP="00787FC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 этом </w:t>
      </w:r>
      <w:r w:rsidR="00533240">
        <w:rPr>
          <w:sz w:val="28"/>
          <w:szCs w:val="28"/>
        </w:rPr>
        <w:t>налогоплательщиками, не являющимися в течение всего налогового периода собственниками объектов Единой системы газоснабжения</w:t>
      </w:r>
      <w:r w:rsidR="00787FC5">
        <w:rPr>
          <w:sz w:val="28"/>
          <w:szCs w:val="28"/>
        </w:rPr>
        <w:t xml:space="preserve"> и </w:t>
      </w:r>
      <w:r w:rsidR="00533240">
        <w:rPr>
          <w:sz w:val="28"/>
          <w:szCs w:val="28"/>
        </w:rPr>
        <w:t>налогоплательщиками, не являющимися в течение всего налогового периода организациями, в которых непосредственно и (или) косвенно участвуют собственники объектов Единой системы газоснабжения и суммарная доля такого участи</w:t>
      </w:r>
      <w:r w:rsidR="00787FC5">
        <w:rPr>
          <w:sz w:val="28"/>
          <w:szCs w:val="28"/>
        </w:rPr>
        <w:t>я составляет более 50 процентов</w:t>
      </w:r>
      <w:r w:rsidR="00FB68DB">
        <w:rPr>
          <w:sz w:val="28"/>
          <w:szCs w:val="28"/>
        </w:rPr>
        <w:t>,</w:t>
      </w:r>
      <w:r w:rsidR="00787FC5">
        <w:rPr>
          <w:sz w:val="28"/>
          <w:szCs w:val="28"/>
        </w:rPr>
        <w:t xml:space="preserve"> налогообложение добычи газа горючего природного из всех видов месторождений углеводородного сырья производится по ставке</w:t>
      </w:r>
      <w:proofErr w:type="gramEnd"/>
      <w:r w:rsidR="00787FC5">
        <w:rPr>
          <w:sz w:val="28"/>
          <w:szCs w:val="28"/>
        </w:rPr>
        <w:t xml:space="preserve">, </w:t>
      </w:r>
      <w:proofErr w:type="gramStart"/>
      <w:r w:rsidR="00787FC5">
        <w:rPr>
          <w:sz w:val="28"/>
          <w:szCs w:val="28"/>
        </w:rPr>
        <w:t>установленной настоящим подпунктом, умноженной на коэффициент, определяемый по формуле:</w:t>
      </w:r>
      <w:proofErr w:type="gramEnd"/>
    </w:p>
    <w:p w:rsidR="00BC1173" w:rsidRDefault="00BC1173" w:rsidP="00787FC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787FC5" w:rsidRDefault="001A1DE4" w:rsidP="00787FC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0,455+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К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ПГ</m:t>
                </m:r>
              </m:sup>
            </m:sSubSup>
            <m:r>
              <w:rPr>
                <w:rFonts w:ascii="Cambria Math" w:hAnsi="Cambria Math"/>
                <w:sz w:val="28"/>
                <w:szCs w:val="28"/>
              </w:rPr>
              <m:t>-1</m:t>
            </m:r>
          </m:e>
        </m:d>
        <m:r>
          <w:rPr>
            <w:rFonts w:ascii="Cambria Math" w:hAnsi="Cambria Math"/>
            <w:sz w:val="28"/>
            <w:szCs w:val="28"/>
          </w:rPr>
          <m:t>×1,13</m:t>
        </m:r>
      </m:oMath>
      <w:r w:rsidR="00787FC5">
        <w:rPr>
          <w:sz w:val="28"/>
          <w:szCs w:val="28"/>
        </w:rPr>
        <w:t>.</w:t>
      </w:r>
    </w:p>
    <w:p w:rsidR="00BC1173" w:rsidRDefault="00BC1173" w:rsidP="00787FC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533240" w:rsidRPr="00D91E11" w:rsidRDefault="009D2FB1" w:rsidP="0074722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Налоговая ставка, установленная указанным подпунктом, </w:t>
      </w:r>
      <w:r w:rsidR="00533240">
        <w:rPr>
          <w:sz w:val="28"/>
          <w:szCs w:val="28"/>
        </w:rPr>
        <w:t>округляется до полного рубля в соответствии с действующим порядком округления</w:t>
      </w:r>
      <w:proofErr w:type="gramStart"/>
      <w:r w:rsidR="00533240">
        <w:rPr>
          <w:sz w:val="28"/>
          <w:szCs w:val="28"/>
        </w:rPr>
        <w:t>;»</w:t>
      </w:r>
      <w:proofErr w:type="gramEnd"/>
      <w:r w:rsidR="00533240" w:rsidRPr="00D91E11">
        <w:rPr>
          <w:sz w:val="28"/>
          <w:szCs w:val="28"/>
        </w:rPr>
        <w:t>.</w:t>
      </w:r>
    </w:p>
    <w:p w:rsidR="00D91E11" w:rsidRPr="00D91E11" w:rsidRDefault="00D91E11" w:rsidP="00747226">
      <w:pPr>
        <w:pStyle w:val="ConsPlusNormal"/>
        <w:tabs>
          <w:tab w:val="left" w:pos="426"/>
        </w:tabs>
        <w:ind w:firstLine="851"/>
        <w:outlineLvl w:val="0"/>
        <w:rPr>
          <w:rFonts w:ascii="Times New Roman" w:hAnsi="Times New Roman"/>
          <w:sz w:val="28"/>
          <w:szCs w:val="28"/>
        </w:rPr>
      </w:pPr>
    </w:p>
    <w:p w:rsidR="006C5C3B" w:rsidRDefault="006C5C3B" w:rsidP="00747226">
      <w:pPr>
        <w:pStyle w:val="ConsPlusNormal"/>
        <w:tabs>
          <w:tab w:val="left" w:pos="426"/>
        </w:tabs>
        <w:ind w:firstLine="851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1E7C18">
        <w:rPr>
          <w:rFonts w:ascii="Times New Roman" w:hAnsi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/>
          <w:b/>
          <w:sz w:val="28"/>
          <w:szCs w:val="28"/>
        </w:rPr>
        <w:t>2</w:t>
      </w:r>
    </w:p>
    <w:p w:rsidR="006C5C3B" w:rsidRDefault="006C5C3B" w:rsidP="00747226">
      <w:pPr>
        <w:pStyle w:val="ConsPlusNormal"/>
        <w:tabs>
          <w:tab w:val="left" w:pos="426"/>
        </w:tabs>
        <w:ind w:firstLine="851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6C5C3B" w:rsidRPr="006C5C3B" w:rsidRDefault="006C5C3B" w:rsidP="00747226">
      <w:pPr>
        <w:pStyle w:val="ConsPlusNormal"/>
        <w:tabs>
          <w:tab w:val="left" w:pos="426"/>
        </w:tabs>
        <w:ind w:firstLine="851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Федеральный закон вступает в силу с 1 </w:t>
      </w:r>
      <w:r w:rsidR="001D498B">
        <w:rPr>
          <w:rFonts w:ascii="Times New Roman" w:hAnsi="Times New Roman"/>
          <w:sz w:val="28"/>
          <w:szCs w:val="28"/>
        </w:rPr>
        <w:t>июля</w:t>
      </w:r>
      <w:r>
        <w:rPr>
          <w:rFonts w:ascii="Times New Roman" w:hAnsi="Times New Roman"/>
          <w:sz w:val="28"/>
          <w:szCs w:val="28"/>
        </w:rPr>
        <w:t xml:space="preserve"> 2013 года, но не ранее чем по истечении одного месяца со дня его официального опубликования и не ранее 1-го числа очередного налогового периода по налогу на добычу полезных ископаемых.</w:t>
      </w:r>
    </w:p>
    <w:p w:rsidR="006C5C3B" w:rsidRDefault="006C5C3B" w:rsidP="00276F8A">
      <w:pPr>
        <w:pStyle w:val="ConsPlusNormal"/>
        <w:tabs>
          <w:tab w:val="left" w:pos="426"/>
        </w:tabs>
        <w:ind w:firstLine="0"/>
        <w:outlineLvl w:val="0"/>
        <w:rPr>
          <w:rFonts w:ascii="Times New Roman" w:hAnsi="Times New Roman"/>
          <w:sz w:val="28"/>
          <w:szCs w:val="28"/>
        </w:rPr>
      </w:pPr>
    </w:p>
    <w:p w:rsidR="006C5C3B" w:rsidRDefault="006C5C3B" w:rsidP="00276F8A">
      <w:pPr>
        <w:pStyle w:val="ConsPlusNormal"/>
        <w:tabs>
          <w:tab w:val="left" w:pos="426"/>
        </w:tabs>
        <w:ind w:firstLine="0"/>
        <w:outlineLvl w:val="0"/>
        <w:rPr>
          <w:rFonts w:ascii="Times New Roman" w:hAnsi="Times New Roman"/>
          <w:sz w:val="28"/>
          <w:szCs w:val="28"/>
        </w:rPr>
      </w:pPr>
    </w:p>
    <w:p w:rsidR="006C5C3B" w:rsidRDefault="006C5C3B" w:rsidP="00276F8A">
      <w:pPr>
        <w:pStyle w:val="ConsPlusNormal"/>
        <w:tabs>
          <w:tab w:val="left" w:pos="426"/>
        </w:tabs>
        <w:ind w:firstLine="0"/>
        <w:outlineLvl w:val="0"/>
        <w:rPr>
          <w:rFonts w:ascii="Times New Roman" w:hAnsi="Times New Roman"/>
          <w:sz w:val="28"/>
          <w:szCs w:val="28"/>
        </w:rPr>
      </w:pPr>
    </w:p>
    <w:p w:rsidR="00F07DC7" w:rsidRPr="001E7C18" w:rsidRDefault="00F07DC7" w:rsidP="00276F8A">
      <w:pPr>
        <w:pStyle w:val="ConsPlusNormal"/>
        <w:tabs>
          <w:tab w:val="left" w:pos="426"/>
        </w:tabs>
        <w:ind w:firstLine="0"/>
        <w:outlineLvl w:val="0"/>
        <w:rPr>
          <w:rFonts w:ascii="Times New Roman" w:hAnsi="Times New Roman"/>
          <w:sz w:val="28"/>
          <w:szCs w:val="28"/>
        </w:rPr>
      </w:pPr>
      <w:r w:rsidRPr="001E7C18">
        <w:rPr>
          <w:rFonts w:ascii="Times New Roman" w:hAnsi="Times New Roman"/>
          <w:sz w:val="28"/>
          <w:szCs w:val="28"/>
        </w:rPr>
        <w:t>Президент</w:t>
      </w:r>
    </w:p>
    <w:p w:rsidR="00F07DC7" w:rsidRDefault="00F07DC7" w:rsidP="00276F8A">
      <w:pPr>
        <w:pStyle w:val="ConsPlusNormal"/>
        <w:tabs>
          <w:tab w:val="left" w:pos="426"/>
        </w:tabs>
        <w:ind w:firstLine="0"/>
        <w:outlineLvl w:val="0"/>
        <w:rPr>
          <w:rFonts w:ascii="Times New Roman" w:hAnsi="Times New Roman"/>
          <w:sz w:val="28"/>
          <w:szCs w:val="28"/>
        </w:rPr>
      </w:pPr>
      <w:r w:rsidRPr="001E7C18">
        <w:rPr>
          <w:rFonts w:ascii="Times New Roman" w:hAnsi="Times New Roman"/>
          <w:sz w:val="28"/>
          <w:szCs w:val="28"/>
        </w:rPr>
        <w:t>Российской Федерации</w:t>
      </w:r>
      <w:bookmarkEnd w:id="0"/>
      <w:bookmarkEnd w:id="1"/>
    </w:p>
    <w:p w:rsidR="00A00E35" w:rsidRPr="00907750" w:rsidRDefault="00A00E35" w:rsidP="00A00E35">
      <w:pPr>
        <w:jc w:val="center"/>
        <w:rPr>
          <w:b/>
          <w:sz w:val="28"/>
          <w:szCs w:val="28"/>
        </w:rPr>
      </w:pPr>
      <w:r w:rsidRPr="00907750">
        <w:rPr>
          <w:b/>
          <w:sz w:val="28"/>
          <w:szCs w:val="28"/>
        </w:rPr>
        <w:t xml:space="preserve"> </w:t>
      </w:r>
    </w:p>
    <w:p w:rsidR="00BE47CE" w:rsidRPr="001E7C18" w:rsidRDefault="00BE47CE" w:rsidP="00BE47CE">
      <w:pPr>
        <w:rPr>
          <w:sz w:val="28"/>
          <w:szCs w:val="28"/>
        </w:rPr>
      </w:pPr>
    </w:p>
    <w:p w:rsidR="00BE47CE" w:rsidRPr="001E7C18" w:rsidRDefault="00BE47CE" w:rsidP="00BE47CE">
      <w:pPr>
        <w:rPr>
          <w:sz w:val="28"/>
          <w:szCs w:val="28"/>
        </w:rPr>
      </w:pPr>
    </w:p>
    <w:p w:rsidR="00BE47CE" w:rsidRPr="001437C4" w:rsidRDefault="00BE47CE" w:rsidP="00BE47CE">
      <w:pPr>
        <w:pStyle w:val="a5"/>
        <w:ind w:firstLine="709"/>
        <w:jc w:val="both"/>
        <w:rPr>
          <w:szCs w:val="28"/>
        </w:rPr>
      </w:pPr>
    </w:p>
    <w:p w:rsidR="00BE47CE" w:rsidRDefault="00BE47CE" w:rsidP="00BE47CE">
      <w:pPr>
        <w:pStyle w:val="ConsPlusNormal"/>
        <w:tabs>
          <w:tab w:val="left" w:pos="426"/>
        </w:tabs>
        <w:ind w:firstLine="0"/>
        <w:outlineLvl w:val="0"/>
        <w:rPr>
          <w:rFonts w:ascii="Times New Roman" w:hAnsi="Times New Roman"/>
          <w:sz w:val="28"/>
          <w:szCs w:val="28"/>
        </w:rPr>
      </w:pPr>
    </w:p>
    <w:sectPr w:rsidR="00BE47CE" w:rsidSect="00B375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93" w:right="707" w:bottom="993" w:left="1134" w:header="425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4E5" w:rsidRDefault="002974E5">
      <w:r>
        <w:separator/>
      </w:r>
    </w:p>
  </w:endnote>
  <w:endnote w:type="continuationSeparator" w:id="0">
    <w:p w:rsidR="002974E5" w:rsidRDefault="00297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218" w:rsidRDefault="00360A9A" w:rsidP="001A6ED0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291218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91218" w:rsidRDefault="00291218" w:rsidP="00F91F11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218" w:rsidRDefault="00291218" w:rsidP="001A6ED0">
    <w:pPr>
      <w:pStyle w:val="ab"/>
      <w:framePr w:wrap="around" w:vAnchor="text" w:hAnchor="margin" w:xAlign="right" w:y="1"/>
      <w:rPr>
        <w:rStyle w:val="ac"/>
      </w:rPr>
    </w:pPr>
  </w:p>
  <w:p w:rsidR="00291218" w:rsidRDefault="00291218" w:rsidP="00F91F11">
    <w:pPr>
      <w:pStyle w:val="a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218" w:rsidRDefault="00291218" w:rsidP="00EB20FB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4E5" w:rsidRDefault="002974E5">
      <w:r>
        <w:separator/>
      </w:r>
    </w:p>
  </w:footnote>
  <w:footnote w:type="continuationSeparator" w:id="0">
    <w:p w:rsidR="002974E5" w:rsidRDefault="00297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218" w:rsidRDefault="00360A9A" w:rsidP="00293C25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291218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91218" w:rsidRDefault="0029121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413302"/>
      <w:docPartObj>
        <w:docPartGallery w:val="Page Numbers (Top of Page)"/>
        <w:docPartUnique/>
      </w:docPartObj>
    </w:sdtPr>
    <w:sdtEndPr/>
    <w:sdtContent>
      <w:p w:rsidR="0044666C" w:rsidRDefault="00C44E85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91218" w:rsidRDefault="00291218" w:rsidP="00BE47CE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218" w:rsidRDefault="00291218" w:rsidP="00EB20FB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67E16"/>
    <w:multiLevelType w:val="hybridMultilevel"/>
    <w:tmpl w:val="672EDD5E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246F028C"/>
    <w:multiLevelType w:val="hybridMultilevel"/>
    <w:tmpl w:val="6C12703C"/>
    <w:lvl w:ilvl="0" w:tplc="3F78299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5B24C6D"/>
    <w:multiLevelType w:val="multilevel"/>
    <w:tmpl w:val="5F06C9C6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6E84696"/>
    <w:multiLevelType w:val="multilevel"/>
    <w:tmpl w:val="CFBCF16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3AA92B8C"/>
    <w:multiLevelType w:val="hybridMultilevel"/>
    <w:tmpl w:val="C2640B68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73ED0C4B"/>
    <w:multiLevelType w:val="multilevel"/>
    <w:tmpl w:val="1806F22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7BE97A41"/>
    <w:multiLevelType w:val="hybridMultilevel"/>
    <w:tmpl w:val="A3EC417A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7EF66A44"/>
    <w:multiLevelType w:val="hybridMultilevel"/>
    <w:tmpl w:val="6F32454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1D43"/>
    <w:rsid w:val="0000041B"/>
    <w:rsid w:val="000019E6"/>
    <w:rsid w:val="0001787E"/>
    <w:rsid w:val="00021D23"/>
    <w:rsid w:val="00024919"/>
    <w:rsid w:val="0004210D"/>
    <w:rsid w:val="0004522D"/>
    <w:rsid w:val="0004605D"/>
    <w:rsid w:val="000476F2"/>
    <w:rsid w:val="0005775A"/>
    <w:rsid w:val="000579A1"/>
    <w:rsid w:val="0008648F"/>
    <w:rsid w:val="000928A4"/>
    <w:rsid w:val="000A5C8F"/>
    <w:rsid w:val="000B18A2"/>
    <w:rsid w:val="000B5245"/>
    <w:rsid w:val="000B5E6A"/>
    <w:rsid w:val="000D2128"/>
    <w:rsid w:val="000D5523"/>
    <w:rsid w:val="000E318C"/>
    <w:rsid w:val="000F18DB"/>
    <w:rsid w:val="000F2387"/>
    <w:rsid w:val="000F37D2"/>
    <w:rsid w:val="00102F19"/>
    <w:rsid w:val="00116CFD"/>
    <w:rsid w:val="001232C8"/>
    <w:rsid w:val="00126D4A"/>
    <w:rsid w:val="00133E2D"/>
    <w:rsid w:val="00135F55"/>
    <w:rsid w:val="00142C62"/>
    <w:rsid w:val="00143B6A"/>
    <w:rsid w:val="00144559"/>
    <w:rsid w:val="00147443"/>
    <w:rsid w:val="00150CC3"/>
    <w:rsid w:val="00154767"/>
    <w:rsid w:val="00166844"/>
    <w:rsid w:val="00172EF6"/>
    <w:rsid w:val="001741F5"/>
    <w:rsid w:val="0018684C"/>
    <w:rsid w:val="00194877"/>
    <w:rsid w:val="001965EB"/>
    <w:rsid w:val="001A1DE4"/>
    <w:rsid w:val="001A644B"/>
    <w:rsid w:val="001A6ED0"/>
    <w:rsid w:val="001B1A0F"/>
    <w:rsid w:val="001B1F0E"/>
    <w:rsid w:val="001B2FB4"/>
    <w:rsid w:val="001C29F0"/>
    <w:rsid w:val="001C7EAC"/>
    <w:rsid w:val="001D008D"/>
    <w:rsid w:val="001D498B"/>
    <w:rsid w:val="001E4AAF"/>
    <w:rsid w:val="001E7671"/>
    <w:rsid w:val="001E76D7"/>
    <w:rsid w:val="001E7C18"/>
    <w:rsid w:val="001F38D2"/>
    <w:rsid w:val="001F4FA7"/>
    <w:rsid w:val="00201300"/>
    <w:rsid w:val="00211140"/>
    <w:rsid w:val="00212356"/>
    <w:rsid w:val="002134DC"/>
    <w:rsid w:val="00235870"/>
    <w:rsid w:val="002446A9"/>
    <w:rsid w:val="00266DDB"/>
    <w:rsid w:val="002707B3"/>
    <w:rsid w:val="00275FBF"/>
    <w:rsid w:val="00276F8A"/>
    <w:rsid w:val="00277B47"/>
    <w:rsid w:val="00287603"/>
    <w:rsid w:val="00287A97"/>
    <w:rsid w:val="00291218"/>
    <w:rsid w:val="00293C25"/>
    <w:rsid w:val="002974E5"/>
    <w:rsid w:val="002A07BD"/>
    <w:rsid w:val="002B62B7"/>
    <w:rsid w:val="002C4EEE"/>
    <w:rsid w:val="002D1545"/>
    <w:rsid w:val="002D2794"/>
    <w:rsid w:val="002D49FD"/>
    <w:rsid w:val="002E03ED"/>
    <w:rsid w:val="002E2710"/>
    <w:rsid w:val="002E4A7A"/>
    <w:rsid w:val="002F3DD4"/>
    <w:rsid w:val="002F53A4"/>
    <w:rsid w:val="002F5C4A"/>
    <w:rsid w:val="002F7C49"/>
    <w:rsid w:val="00310DD2"/>
    <w:rsid w:val="00314261"/>
    <w:rsid w:val="00323719"/>
    <w:rsid w:val="00335465"/>
    <w:rsid w:val="00335BAF"/>
    <w:rsid w:val="00341600"/>
    <w:rsid w:val="003532EE"/>
    <w:rsid w:val="00360A9A"/>
    <w:rsid w:val="0037422F"/>
    <w:rsid w:val="003748AD"/>
    <w:rsid w:val="003834CE"/>
    <w:rsid w:val="00385044"/>
    <w:rsid w:val="00385B4F"/>
    <w:rsid w:val="00395D9B"/>
    <w:rsid w:val="003A2F4C"/>
    <w:rsid w:val="003B4D0C"/>
    <w:rsid w:val="003B7153"/>
    <w:rsid w:val="003C0BA6"/>
    <w:rsid w:val="003C0FE6"/>
    <w:rsid w:val="003D2627"/>
    <w:rsid w:val="003F49E6"/>
    <w:rsid w:val="003F6E62"/>
    <w:rsid w:val="00401153"/>
    <w:rsid w:val="00402543"/>
    <w:rsid w:val="00403CFF"/>
    <w:rsid w:val="00412040"/>
    <w:rsid w:val="00420B6F"/>
    <w:rsid w:val="00424835"/>
    <w:rsid w:val="00425CCD"/>
    <w:rsid w:val="00426FDF"/>
    <w:rsid w:val="0043045C"/>
    <w:rsid w:val="00431E14"/>
    <w:rsid w:val="00434230"/>
    <w:rsid w:val="00434494"/>
    <w:rsid w:val="00441FBA"/>
    <w:rsid w:val="0044666C"/>
    <w:rsid w:val="00447DE2"/>
    <w:rsid w:val="00460F8D"/>
    <w:rsid w:val="00465461"/>
    <w:rsid w:val="00491335"/>
    <w:rsid w:val="004C0D89"/>
    <w:rsid w:val="004C1D43"/>
    <w:rsid w:val="004C2ADF"/>
    <w:rsid w:val="004C7611"/>
    <w:rsid w:val="004D49AE"/>
    <w:rsid w:val="004E1CCA"/>
    <w:rsid w:val="004F5CD6"/>
    <w:rsid w:val="00502221"/>
    <w:rsid w:val="00517434"/>
    <w:rsid w:val="00533240"/>
    <w:rsid w:val="005356EC"/>
    <w:rsid w:val="005405BC"/>
    <w:rsid w:val="00541219"/>
    <w:rsid w:val="00551179"/>
    <w:rsid w:val="00551289"/>
    <w:rsid w:val="00554C38"/>
    <w:rsid w:val="00557784"/>
    <w:rsid w:val="00570FFA"/>
    <w:rsid w:val="00572274"/>
    <w:rsid w:val="005723D5"/>
    <w:rsid w:val="005744E8"/>
    <w:rsid w:val="00584805"/>
    <w:rsid w:val="00585ADC"/>
    <w:rsid w:val="00591169"/>
    <w:rsid w:val="005936DA"/>
    <w:rsid w:val="005A6D8E"/>
    <w:rsid w:val="005B3232"/>
    <w:rsid w:val="005B4196"/>
    <w:rsid w:val="005B507F"/>
    <w:rsid w:val="005C0550"/>
    <w:rsid w:val="005C11D5"/>
    <w:rsid w:val="005C2BAE"/>
    <w:rsid w:val="005E26F6"/>
    <w:rsid w:val="005E7612"/>
    <w:rsid w:val="005F2490"/>
    <w:rsid w:val="005F48BB"/>
    <w:rsid w:val="005F7DB1"/>
    <w:rsid w:val="00603943"/>
    <w:rsid w:val="00604DA9"/>
    <w:rsid w:val="00607FD8"/>
    <w:rsid w:val="00634A19"/>
    <w:rsid w:val="0064353A"/>
    <w:rsid w:val="00644EBE"/>
    <w:rsid w:val="00653A37"/>
    <w:rsid w:val="00655EAA"/>
    <w:rsid w:val="0066237A"/>
    <w:rsid w:val="00662B0E"/>
    <w:rsid w:val="00672065"/>
    <w:rsid w:val="00681AA8"/>
    <w:rsid w:val="00681E4F"/>
    <w:rsid w:val="00684BCD"/>
    <w:rsid w:val="0068570E"/>
    <w:rsid w:val="0069104D"/>
    <w:rsid w:val="0069452D"/>
    <w:rsid w:val="00694567"/>
    <w:rsid w:val="00697B05"/>
    <w:rsid w:val="006A06FE"/>
    <w:rsid w:val="006A4758"/>
    <w:rsid w:val="006A52AA"/>
    <w:rsid w:val="006A5DE7"/>
    <w:rsid w:val="006B1486"/>
    <w:rsid w:val="006B314A"/>
    <w:rsid w:val="006B4386"/>
    <w:rsid w:val="006C012C"/>
    <w:rsid w:val="006C393D"/>
    <w:rsid w:val="006C44CB"/>
    <w:rsid w:val="006C5C3B"/>
    <w:rsid w:val="006C7C18"/>
    <w:rsid w:val="006C7D92"/>
    <w:rsid w:val="006D0DF0"/>
    <w:rsid w:val="006D5BC5"/>
    <w:rsid w:val="006E25A2"/>
    <w:rsid w:val="006F5796"/>
    <w:rsid w:val="006F6E28"/>
    <w:rsid w:val="00701581"/>
    <w:rsid w:val="007125E2"/>
    <w:rsid w:val="007266B7"/>
    <w:rsid w:val="00733302"/>
    <w:rsid w:val="00736CD2"/>
    <w:rsid w:val="00741729"/>
    <w:rsid w:val="00741883"/>
    <w:rsid w:val="00747226"/>
    <w:rsid w:val="0075171A"/>
    <w:rsid w:val="00756634"/>
    <w:rsid w:val="00762C71"/>
    <w:rsid w:val="00776F0C"/>
    <w:rsid w:val="007847C3"/>
    <w:rsid w:val="00786BAE"/>
    <w:rsid w:val="00787FC5"/>
    <w:rsid w:val="00791EA2"/>
    <w:rsid w:val="007A5F63"/>
    <w:rsid w:val="007B6031"/>
    <w:rsid w:val="007C2568"/>
    <w:rsid w:val="007C3FAB"/>
    <w:rsid w:val="007D27C5"/>
    <w:rsid w:val="007E4695"/>
    <w:rsid w:val="007F039A"/>
    <w:rsid w:val="007F0DF1"/>
    <w:rsid w:val="007F35DE"/>
    <w:rsid w:val="007F41FD"/>
    <w:rsid w:val="00803E02"/>
    <w:rsid w:val="008044BE"/>
    <w:rsid w:val="00805B97"/>
    <w:rsid w:val="008077B1"/>
    <w:rsid w:val="00814406"/>
    <w:rsid w:val="008214A9"/>
    <w:rsid w:val="008239A5"/>
    <w:rsid w:val="00824418"/>
    <w:rsid w:val="0082574E"/>
    <w:rsid w:val="008326BC"/>
    <w:rsid w:val="0084055A"/>
    <w:rsid w:val="00840BC2"/>
    <w:rsid w:val="00842BDC"/>
    <w:rsid w:val="00847D49"/>
    <w:rsid w:val="0085516C"/>
    <w:rsid w:val="00864CB6"/>
    <w:rsid w:val="00870FE2"/>
    <w:rsid w:val="00881DA0"/>
    <w:rsid w:val="008830E1"/>
    <w:rsid w:val="00893B92"/>
    <w:rsid w:val="008D0737"/>
    <w:rsid w:val="008E075D"/>
    <w:rsid w:val="008F7B85"/>
    <w:rsid w:val="00907750"/>
    <w:rsid w:val="00930B65"/>
    <w:rsid w:val="00935BBA"/>
    <w:rsid w:val="00937C9A"/>
    <w:rsid w:val="009437B7"/>
    <w:rsid w:val="00945765"/>
    <w:rsid w:val="0094577A"/>
    <w:rsid w:val="00955331"/>
    <w:rsid w:val="0096029F"/>
    <w:rsid w:val="00960CBA"/>
    <w:rsid w:val="00967678"/>
    <w:rsid w:val="00971714"/>
    <w:rsid w:val="009730A1"/>
    <w:rsid w:val="009813C6"/>
    <w:rsid w:val="00981449"/>
    <w:rsid w:val="009826BB"/>
    <w:rsid w:val="009956C8"/>
    <w:rsid w:val="009A24A4"/>
    <w:rsid w:val="009B31E7"/>
    <w:rsid w:val="009C0A9F"/>
    <w:rsid w:val="009C0B55"/>
    <w:rsid w:val="009D117F"/>
    <w:rsid w:val="009D2FB1"/>
    <w:rsid w:val="009E11E0"/>
    <w:rsid w:val="009E5B2A"/>
    <w:rsid w:val="009E5D3D"/>
    <w:rsid w:val="009F383B"/>
    <w:rsid w:val="009F4DFB"/>
    <w:rsid w:val="00A00E35"/>
    <w:rsid w:val="00A01DF2"/>
    <w:rsid w:val="00A03480"/>
    <w:rsid w:val="00A07DBD"/>
    <w:rsid w:val="00A11818"/>
    <w:rsid w:val="00A159A7"/>
    <w:rsid w:val="00A16663"/>
    <w:rsid w:val="00A26241"/>
    <w:rsid w:val="00A37663"/>
    <w:rsid w:val="00A4603E"/>
    <w:rsid w:val="00A57038"/>
    <w:rsid w:val="00A613C5"/>
    <w:rsid w:val="00A8588C"/>
    <w:rsid w:val="00A8698A"/>
    <w:rsid w:val="00AB0E14"/>
    <w:rsid w:val="00AB43CC"/>
    <w:rsid w:val="00AB4829"/>
    <w:rsid w:val="00AC7713"/>
    <w:rsid w:val="00AE650E"/>
    <w:rsid w:val="00AF06E3"/>
    <w:rsid w:val="00AF1E1F"/>
    <w:rsid w:val="00B00DD2"/>
    <w:rsid w:val="00B07B89"/>
    <w:rsid w:val="00B103E3"/>
    <w:rsid w:val="00B17A1D"/>
    <w:rsid w:val="00B22463"/>
    <w:rsid w:val="00B22D7E"/>
    <w:rsid w:val="00B36093"/>
    <w:rsid w:val="00B375D5"/>
    <w:rsid w:val="00B518FE"/>
    <w:rsid w:val="00B5267E"/>
    <w:rsid w:val="00B62339"/>
    <w:rsid w:val="00B6344D"/>
    <w:rsid w:val="00B85794"/>
    <w:rsid w:val="00B87534"/>
    <w:rsid w:val="00B936B7"/>
    <w:rsid w:val="00B936CF"/>
    <w:rsid w:val="00BA0007"/>
    <w:rsid w:val="00BB21D3"/>
    <w:rsid w:val="00BB4C8D"/>
    <w:rsid w:val="00BB5F0A"/>
    <w:rsid w:val="00BB7382"/>
    <w:rsid w:val="00BC1173"/>
    <w:rsid w:val="00BC14CF"/>
    <w:rsid w:val="00BC16C4"/>
    <w:rsid w:val="00BC6DCA"/>
    <w:rsid w:val="00BC7C86"/>
    <w:rsid w:val="00BD14D4"/>
    <w:rsid w:val="00BD78E2"/>
    <w:rsid w:val="00BE364C"/>
    <w:rsid w:val="00BE47CE"/>
    <w:rsid w:val="00BF7171"/>
    <w:rsid w:val="00C00CD6"/>
    <w:rsid w:val="00C05E0F"/>
    <w:rsid w:val="00C12690"/>
    <w:rsid w:val="00C13FB4"/>
    <w:rsid w:val="00C1660C"/>
    <w:rsid w:val="00C17879"/>
    <w:rsid w:val="00C30DC3"/>
    <w:rsid w:val="00C42914"/>
    <w:rsid w:val="00C44E85"/>
    <w:rsid w:val="00C50CD2"/>
    <w:rsid w:val="00C61D68"/>
    <w:rsid w:val="00C71930"/>
    <w:rsid w:val="00C76398"/>
    <w:rsid w:val="00C766A4"/>
    <w:rsid w:val="00C8199F"/>
    <w:rsid w:val="00C8508E"/>
    <w:rsid w:val="00CA5C67"/>
    <w:rsid w:val="00CA771C"/>
    <w:rsid w:val="00CB3CBB"/>
    <w:rsid w:val="00CB7ECD"/>
    <w:rsid w:val="00CC1B46"/>
    <w:rsid w:val="00CD0902"/>
    <w:rsid w:val="00CD5A06"/>
    <w:rsid w:val="00CE7FC1"/>
    <w:rsid w:val="00CF1AEF"/>
    <w:rsid w:val="00CF7886"/>
    <w:rsid w:val="00D001D9"/>
    <w:rsid w:val="00D21909"/>
    <w:rsid w:val="00D250B1"/>
    <w:rsid w:val="00D31A42"/>
    <w:rsid w:val="00D40C2C"/>
    <w:rsid w:val="00D478F8"/>
    <w:rsid w:val="00D54E85"/>
    <w:rsid w:val="00D57E32"/>
    <w:rsid w:val="00D76776"/>
    <w:rsid w:val="00D80B2F"/>
    <w:rsid w:val="00D91E11"/>
    <w:rsid w:val="00D92709"/>
    <w:rsid w:val="00D93FEB"/>
    <w:rsid w:val="00DA2759"/>
    <w:rsid w:val="00DA4969"/>
    <w:rsid w:val="00DA6221"/>
    <w:rsid w:val="00DB0FAD"/>
    <w:rsid w:val="00DB24EB"/>
    <w:rsid w:val="00DB72DB"/>
    <w:rsid w:val="00DC62F1"/>
    <w:rsid w:val="00DC67EB"/>
    <w:rsid w:val="00DD6503"/>
    <w:rsid w:val="00DE1654"/>
    <w:rsid w:val="00DE289E"/>
    <w:rsid w:val="00DE73A3"/>
    <w:rsid w:val="00DE76DE"/>
    <w:rsid w:val="00DE7D7B"/>
    <w:rsid w:val="00DF1236"/>
    <w:rsid w:val="00DF7DDF"/>
    <w:rsid w:val="00E0095A"/>
    <w:rsid w:val="00E0466E"/>
    <w:rsid w:val="00E07703"/>
    <w:rsid w:val="00E124FB"/>
    <w:rsid w:val="00E14442"/>
    <w:rsid w:val="00E1447A"/>
    <w:rsid w:val="00E31434"/>
    <w:rsid w:val="00E4156D"/>
    <w:rsid w:val="00E461BD"/>
    <w:rsid w:val="00E61775"/>
    <w:rsid w:val="00E63333"/>
    <w:rsid w:val="00E638F5"/>
    <w:rsid w:val="00E64C3D"/>
    <w:rsid w:val="00E75354"/>
    <w:rsid w:val="00E77F14"/>
    <w:rsid w:val="00E846C6"/>
    <w:rsid w:val="00E946A4"/>
    <w:rsid w:val="00E97E46"/>
    <w:rsid w:val="00EA4BC8"/>
    <w:rsid w:val="00EB1C6F"/>
    <w:rsid w:val="00EB20FB"/>
    <w:rsid w:val="00EB5413"/>
    <w:rsid w:val="00ED0581"/>
    <w:rsid w:val="00ED71A5"/>
    <w:rsid w:val="00EE04D3"/>
    <w:rsid w:val="00EE1A04"/>
    <w:rsid w:val="00EF11D6"/>
    <w:rsid w:val="00EF6337"/>
    <w:rsid w:val="00F00558"/>
    <w:rsid w:val="00F06A86"/>
    <w:rsid w:val="00F07DC7"/>
    <w:rsid w:val="00F2551B"/>
    <w:rsid w:val="00F2553E"/>
    <w:rsid w:val="00F32FBD"/>
    <w:rsid w:val="00F334CC"/>
    <w:rsid w:val="00F41063"/>
    <w:rsid w:val="00F41D04"/>
    <w:rsid w:val="00F430D2"/>
    <w:rsid w:val="00F6423E"/>
    <w:rsid w:val="00F66C0B"/>
    <w:rsid w:val="00F91F11"/>
    <w:rsid w:val="00F94494"/>
    <w:rsid w:val="00FA7A09"/>
    <w:rsid w:val="00FB425D"/>
    <w:rsid w:val="00FB68DB"/>
    <w:rsid w:val="00FC14AB"/>
    <w:rsid w:val="00FC6FE4"/>
    <w:rsid w:val="00FD7274"/>
    <w:rsid w:val="00FF3041"/>
    <w:rsid w:val="00FF7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1D43"/>
  </w:style>
  <w:style w:type="paragraph" w:styleId="1">
    <w:name w:val="heading 1"/>
    <w:basedOn w:val="a"/>
    <w:next w:val="a"/>
    <w:link w:val="10"/>
    <w:qFormat/>
    <w:rsid w:val="00F07DC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C1D43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1D43"/>
    <w:rPr>
      <w:sz w:val="28"/>
    </w:rPr>
  </w:style>
  <w:style w:type="paragraph" w:styleId="a5">
    <w:name w:val="Body Text Indent"/>
    <w:basedOn w:val="a"/>
    <w:link w:val="a6"/>
    <w:rsid w:val="004C1D43"/>
    <w:pPr>
      <w:ind w:firstLine="720"/>
      <w:jc w:val="center"/>
    </w:pPr>
    <w:rPr>
      <w:b/>
      <w:sz w:val="28"/>
    </w:rPr>
  </w:style>
  <w:style w:type="paragraph" w:customStyle="1" w:styleId="ConsPlusNormal">
    <w:name w:val="ConsPlusNormal"/>
    <w:rsid w:val="004C1D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1F4FA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744E8"/>
    <w:rPr>
      <w:b/>
      <w:snapToGrid w:val="0"/>
      <w:sz w:val="28"/>
    </w:rPr>
  </w:style>
  <w:style w:type="paragraph" w:styleId="a8">
    <w:name w:val="header"/>
    <w:basedOn w:val="a"/>
    <w:link w:val="a9"/>
    <w:uiPriority w:val="99"/>
    <w:rsid w:val="00F07DC7"/>
    <w:pPr>
      <w:tabs>
        <w:tab w:val="center" w:pos="4677"/>
        <w:tab w:val="right" w:pos="9355"/>
      </w:tabs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Nonformat">
    <w:name w:val="ConsPlusNonformat"/>
    <w:rsid w:val="0046546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Внимание: недобросовестность!"/>
    <w:basedOn w:val="a"/>
    <w:next w:val="a"/>
    <w:rsid w:val="00791EA2"/>
    <w:pPr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styleId="ab">
    <w:name w:val="footer"/>
    <w:basedOn w:val="a"/>
    <w:rsid w:val="00F91F11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F91F11"/>
  </w:style>
  <w:style w:type="character" w:customStyle="1" w:styleId="a6">
    <w:name w:val="Основной текст с отступом Знак"/>
    <w:link w:val="a5"/>
    <w:rsid w:val="00BE47CE"/>
    <w:rPr>
      <w:b/>
      <w:sz w:val="28"/>
    </w:rPr>
  </w:style>
  <w:style w:type="paragraph" w:styleId="ad">
    <w:name w:val="Subtitle"/>
    <w:basedOn w:val="a"/>
    <w:link w:val="ae"/>
    <w:qFormat/>
    <w:rsid w:val="00BE47CE"/>
    <w:pPr>
      <w:jc w:val="center"/>
    </w:pPr>
    <w:rPr>
      <w:b/>
      <w:sz w:val="28"/>
    </w:rPr>
  </w:style>
  <w:style w:type="character" w:customStyle="1" w:styleId="ae">
    <w:name w:val="Подзаголовок Знак"/>
    <w:link w:val="ad"/>
    <w:rsid w:val="00BE47CE"/>
    <w:rPr>
      <w:b/>
      <w:sz w:val="28"/>
    </w:rPr>
  </w:style>
  <w:style w:type="character" w:customStyle="1" w:styleId="10">
    <w:name w:val="Заголовок 1 Знак"/>
    <w:link w:val="1"/>
    <w:rsid w:val="00BE47CE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Основной текст Знак"/>
    <w:link w:val="a3"/>
    <w:rsid w:val="00BE47CE"/>
    <w:rPr>
      <w:sz w:val="28"/>
    </w:rPr>
  </w:style>
  <w:style w:type="character" w:customStyle="1" w:styleId="a9">
    <w:name w:val="Верхний колонтитул Знак"/>
    <w:link w:val="a8"/>
    <w:uiPriority w:val="99"/>
    <w:rsid w:val="00BE47CE"/>
    <w:rPr>
      <w:sz w:val="28"/>
      <w:szCs w:val="28"/>
    </w:rPr>
  </w:style>
  <w:style w:type="character" w:styleId="af">
    <w:name w:val="Placeholder Text"/>
    <w:basedOn w:val="a0"/>
    <w:uiPriority w:val="99"/>
    <w:semiHidden/>
    <w:rsid w:val="00E124F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1D43"/>
  </w:style>
  <w:style w:type="paragraph" w:styleId="1">
    <w:name w:val="heading 1"/>
    <w:basedOn w:val="a"/>
    <w:next w:val="a"/>
    <w:link w:val="10"/>
    <w:qFormat/>
    <w:rsid w:val="00F07DC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rsid w:val="004C1D43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1D43"/>
    <w:rPr>
      <w:sz w:val="28"/>
      <w:lang w:val="x-none" w:eastAsia="x-none"/>
    </w:rPr>
  </w:style>
  <w:style w:type="paragraph" w:styleId="a5">
    <w:name w:val="Body Text Indent"/>
    <w:basedOn w:val="a"/>
    <w:link w:val="a6"/>
    <w:rsid w:val="004C1D43"/>
    <w:pPr>
      <w:ind w:firstLine="720"/>
      <w:jc w:val="center"/>
    </w:pPr>
    <w:rPr>
      <w:b/>
      <w:sz w:val="28"/>
      <w:lang w:val="x-none" w:eastAsia="x-none"/>
    </w:rPr>
  </w:style>
  <w:style w:type="paragraph" w:customStyle="1" w:styleId="ConsPlusNormal">
    <w:name w:val="ConsPlusNormal"/>
    <w:rsid w:val="004C1D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1F4FA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744E8"/>
    <w:rPr>
      <w:b/>
      <w:snapToGrid w:val="0"/>
      <w:sz w:val="28"/>
    </w:rPr>
  </w:style>
  <w:style w:type="paragraph" w:styleId="a8">
    <w:name w:val="header"/>
    <w:basedOn w:val="a"/>
    <w:link w:val="a9"/>
    <w:rsid w:val="00F07DC7"/>
    <w:pPr>
      <w:tabs>
        <w:tab w:val="center" w:pos="4677"/>
        <w:tab w:val="right" w:pos="9355"/>
      </w:tabs>
      <w:spacing w:line="360" w:lineRule="auto"/>
      <w:ind w:firstLine="709"/>
      <w:jc w:val="both"/>
    </w:pPr>
    <w:rPr>
      <w:sz w:val="28"/>
      <w:szCs w:val="28"/>
      <w:lang w:val="x-none" w:eastAsia="x-none"/>
    </w:rPr>
  </w:style>
  <w:style w:type="paragraph" w:customStyle="1" w:styleId="ConsPlusNonformat">
    <w:name w:val="ConsPlusNonformat"/>
    <w:rsid w:val="0046546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Внимание: недобросовестность!"/>
    <w:basedOn w:val="a"/>
    <w:next w:val="a"/>
    <w:rsid w:val="00791EA2"/>
    <w:pPr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styleId="ab">
    <w:name w:val="footer"/>
    <w:basedOn w:val="a"/>
    <w:rsid w:val="00F91F11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F91F11"/>
  </w:style>
  <w:style w:type="character" w:customStyle="1" w:styleId="a6">
    <w:name w:val="Основной текст с отступом Знак"/>
    <w:link w:val="a5"/>
    <w:rsid w:val="00BE47CE"/>
    <w:rPr>
      <w:b/>
      <w:sz w:val="28"/>
    </w:rPr>
  </w:style>
  <w:style w:type="paragraph" w:styleId="ad">
    <w:name w:val="Subtitle"/>
    <w:basedOn w:val="a"/>
    <w:link w:val="ae"/>
    <w:qFormat/>
    <w:rsid w:val="00BE47CE"/>
    <w:pPr>
      <w:jc w:val="center"/>
    </w:pPr>
    <w:rPr>
      <w:b/>
      <w:sz w:val="28"/>
      <w:lang w:val="x-none" w:eastAsia="x-none"/>
    </w:rPr>
  </w:style>
  <w:style w:type="character" w:customStyle="1" w:styleId="ae">
    <w:name w:val="Подзаголовок Знак"/>
    <w:link w:val="ad"/>
    <w:rsid w:val="00BE47CE"/>
    <w:rPr>
      <w:b/>
      <w:sz w:val="28"/>
    </w:rPr>
  </w:style>
  <w:style w:type="character" w:customStyle="1" w:styleId="10">
    <w:name w:val="Заголовок 1 Знак"/>
    <w:link w:val="1"/>
    <w:rsid w:val="00BE47CE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Основной текст Знак"/>
    <w:link w:val="a3"/>
    <w:rsid w:val="00BE47CE"/>
    <w:rPr>
      <w:sz w:val="28"/>
    </w:rPr>
  </w:style>
  <w:style w:type="character" w:customStyle="1" w:styleId="a9">
    <w:name w:val="Верхний колонтитул Знак"/>
    <w:link w:val="a8"/>
    <w:rsid w:val="00BE47CE"/>
    <w:rPr>
      <w:sz w:val="28"/>
      <w:szCs w:val="28"/>
    </w:rPr>
  </w:style>
  <w:style w:type="character" w:styleId="af">
    <w:name w:val="Placeholder Text"/>
    <w:basedOn w:val="a0"/>
    <w:uiPriority w:val="99"/>
    <w:semiHidden/>
    <w:rsid w:val="00E124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FCE31-59F9-436B-835A-CFA35B1AA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401</Words>
  <Characters>2603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Министерство финансов РФ</Company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0365</dc:creator>
  <cp:lastModifiedBy>ГОЛОВАНОВ ГЕОРГИЙ РУСЛАНОВИЧ</cp:lastModifiedBy>
  <cp:revision>16</cp:revision>
  <cp:lastPrinted>2012-09-17T09:07:00Z</cp:lastPrinted>
  <dcterms:created xsi:type="dcterms:W3CDTF">2012-09-17T05:27:00Z</dcterms:created>
  <dcterms:modified xsi:type="dcterms:W3CDTF">2012-09-17T15:32:00Z</dcterms:modified>
</cp:coreProperties>
</file>